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7FF" w:rsidRPr="005D433C" w:rsidRDefault="00E637FF" w:rsidP="005D433C">
      <w:pPr>
        <w:pStyle w:val="Heading1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Appendix B </w:t>
      </w:r>
      <w:r w:rsidR="005D433C" w:rsidRPr="005D433C">
        <w:rPr>
          <w:b/>
          <w:bCs/>
          <w:lang w:val="en-US"/>
        </w:rPr>
        <w:t xml:space="preserve">: </w:t>
      </w:r>
    </w:p>
    <w:p w:rsidR="00E637FF" w:rsidRPr="005D433C" w:rsidRDefault="005D433C" w:rsidP="005D433C">
      <w:pPr>
        <w:pStyle w:val="Heading2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B.0  </w:t>
      </w:r>
      <w:r w:rsidR="00B30EDD">
        <w:rPr>
          <w:b/>
          <w:bCs/>
          <w:lang w:val="en-US"/>
        </w:rPr>
        <w:t>use case and high level requirement</w:t>
      </w:r>
      <w:r w:rsidR="00BB410E">
        <w:rPr>
          <w:b/>
          <w:bCs/>
          <w:lang w:val="en-US"/>
        </w:rPr>
        <w:t xml:space="preserve"> – all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4"/>
        <w:gridCol w:w="2531"/>
        <w:gridCol w:w="2529"/>
        <w:gridCol w:w="1451"/>
        <w:gridCol w:w="25"/>
        <w:gridCol w:w="1256"/>
        <w:gridCol w:w="13"/>
        <w:gridCol w:w="931"/>
      </w:tblGrid>
      <w:tr w:rsidR="006B05F1" w:rsidTr="00A36650">
        <w:tc>
          <w:tcPr>
            <w:tcW w:w="614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531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Use Case </w:t>
            </w:r>
          </w:p>
        </w:tc>
        <w:tc>
          <w:tcPr>
            <w:tcW w:w="2529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High level requirement</w:t>
            </w:r>
          </w:p>
        </w:tc>
        <w:tc>
          <w:tcPr>
            <w:tcW w:w="1451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1281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Presented Company(s)</w:t>
            </w:r>
          </w:p>
        </w:tc>
        <w:tc>
          <w:tcPr>
            <w:tcW w:w="944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Version planned</w:t>
            </w:r>
          </w:p>
        </w:tc>
      </w:tr>
      <w:tr w:rsidR="006B05F1" w:rsidTr="00A36650">
        <w:tc>
          <w:tcPr>
            <w:tcW w:w="614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B1</w:t>
            </w:r>
          </w:p>
        </w:tc>
        <w:tc>
          <w:tcPr>
            <w:tcW w:w="2531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 xml:space="preserve">3GPP </w:t>
            </w:r>
            <w:proofErr w:type="spellStart"/>
            <w:r w:rsidRPr="00756C77">
              <w:rPr>
                <w:lang w:val="en-US"/>
              </w:rPr>
              <w:t>CIoT</w:t>
            </w:r>
            <w:proofErr w:type="spellEnd"/>
            <w:r w:rsidRPr="00756C77">
              <w:rPr>
                <w:lang w:val="en-US"/>
              </w:rPr>
              <w:t xml:space="preserve"> and emergence of LPWAN technologies to be supported by LwM2M releases</w:t>
            </w:r>
            <w:r w:rsidR="00BE7ED2">
              <w:rPr>
                <w:lang w:val="en-US"/>
              </w:rPr>
              <w:t xml:space="preserve"> (NB-</w:t>
            </w:r>
            <w:proofErr w:type="spellStart"/>
            <w:r w:rsidR="00BE7ED2">
              <w:rPr>
                <w:lang w:val="en-US"/>
              </w:rPr>
              <w:t>IoT</w:t>
            </w:r>
            <w:proofErr w:type="spellEnd"/>
            <w:r w:rsidR="00BE7ED2">
              <w:rPr>
                <w:lang w:val="en-US"/>
              </w:rPr>
              <w:t xml:space="preserve"> and LTE CAT-M)</w:t>
            </w:r>
          </w:p>
        </w:tc>
        <w:tc>
          <w:tcPr>
            <w:tcW w:w="2529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</w:p>
        </w:tc>
        <w:tc>
          <w:tcPr>
            <w:tcW w:w="1451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>Vodafone, Nokia, ARM</w:t>
            </w:r>
            <w:r w:rsidR="00757525">
              <w:rPr>
                <w:lang w:val="en-US"/>
              </w:rPr>
              <w:t xml:space="preserve">, Orange, </w:t>
            </w:r>
            <w:proofErr w:type="spellStart"/>
            <w:r w:rsidR="00757525">
              <w:rPr>
                <w:lang w:val="en-US"/>
              </w:rPr>
              <w:t>Gemalto</w:t>
            </w:r>
            <w:proofErr w:type="spellEnd"/>
            <w:r w:rsidR="00F536A2">
              <w:rPr>
                <w:lang w:val="en-US"/>
              </w:rPr>
              <w:t xml:space="preserve">, </w:t>
            </w:r>
            <w:proofErr w:type="spellStart"/>
            <w:r w:rsidR="00F536A2">
              <w:rPr>
                <w:lang w:val="en-US"/>
              </w:rPr>
              <w:t>Ublox</w:t>
            </w:r>
            <w:proofErr w:type="spellEnd"/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Pr="00756C77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A36650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53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529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connection management and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  <w:r>
              <w:rPr>
                <w:lang w:val="en-US"/>
              </w:rPr>
              <w:t xml:space="preserve"> parameters in LwM2M</w:t>
            </w:r>
          </w:p>
        </w:tc>
        <w:tc>
          <w:tcPr>
            <w:tcW w:w="145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A36650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53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529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SCEF path in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145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A36650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53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529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IP path inside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145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A36650">
        <w:tc>
          <w:tcPr>
            <w:tcW w:w="614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531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LoRA</w:t>
            </w:r>
            <w:proofErr w:type="spellEnd"/>
            <w:r>
              <w:rPr>
                <w:lang w:val="fr-FR"/>
              </w:rPr>
              <w:t xml:space="preserve"> </w:t>
            </w:r>
            <w:r w:rsidRPr="006B05F1">
              <w:rPr>
                <w:strike/>
                <w:lang w:val="fr-FR"/>
              </w:rPr>
              <w:t>&amp; LTE-Cat M</w:t>
            </w:r>
            <w:r>
              <w:rPr>
                <w:lang w:val="fr-FR"/>
              </w:rPr>
              <w:t xml:space="preserve"> Support</w:t>
            </w:r>
          </w:p>
        </w:tc>
        <w:tc>
          <w:tcPr>
            <w:tcW w:w="2529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A general framework for supporting LPWAN (non IP)   in LwM2M is expected in the field</w:t>
            </w:r>
          </w:p>
        </w:tc>
        <w:tc>
          <w:tcPr>
            <w:tcW w:w="1451" w:type="dxa"/>
            <w:shd w:val="clear" w:color="auto" w:fill="E7E6E6" w:themeFill="background2"/>
            <w:hideMark/>
          </w:tcPr>
          <w:p w:rsidR="006B05F1" w:rsidRDefault="00355BEB" w:rsidP="00B05994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ORANGE*,</w:t>
            </w:r>
          </w:p>
          <w:p w:rsidR="006B05F1" w:rsidRDefault="006B05F1" w:rsidP="00B0599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B05F1" w:rsidRDefault="003F3A65" w:rsidP="00B05994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A36650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B2</w:t>
            </w:r>
          </w:p>
        </w:tc>
        <w:tc>
          <w:tcPr>
            <w:tcW w:w="253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Maintenance and upgrade of constrained devices would be necessary in the field once deployed. This should avoid unnecessary overheads in terms of confi</w:t>
            </w:r>
            <w:r w:rsidR="00BF48D9">
              <w:rPr>
                <w:lang w:val="en-US"/>
              </w:rPr>
              <w:t xml:space="preserve">guration and reconfigurations. </w:t>
            </w:r>
          </w:p>
        </w:tc>
        <w:tc>
          <w:tcPr>
            <w:tcW w:w="2529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5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A36650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53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529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Upgrading firmware preserves pre-upgrade settings and device comes online without bootstrapping</w:t>
            </w:r>
          </w:p>
        </w:tc>
        <w:tc>
          <w:tcPr>
            <w:tcW w:w="145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A36650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53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529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Reverting to previous firmware is made possible and device comes online without bootstrapping</w:t>
            </w:r>
          </w:p>
        </w:tc>
        <w:tc>
          <w:tcPr>
            <w:tcW w:w="145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A36650">
        <w:tc>
          <w:tcPr>
            <w:tcW w:w="614" w:type="dxa"/>
            <w:shd w:val="clear" w:color="auto" w:fill="E7E6E6" w:themeFill="background2"/>
          </w:tcPr>
          <w:p w:rsidR="006B05F1" w:rsidRPr="00690EA5" w:rsidRDefault="006B05F1">
            <w:pPr>
              <w:rPr>
                <w:lang w:val="en-US"/>
              </w:rPr>
            </w:pPr>
            <w:r>
              <w:rPr>
                <w:lang w:val="en-US"/>
              </w:rPr>
              <w:t>B3</w:t>
            </w:r>
          </w:p>
        </w:tc>
        <w:tc>
          <w:tcPr>
            <w:tcW w:w="2531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 w:rsidRPr="00690EA5">
              <w:rPr>
                <w:lang w:val="en-US"/>
              </w:rPr>
              <w:t xml:space="preserve">When supporting multiple LWM2M server instances it is sometime necessary to have a </w:t>
            </w:r>
            <w:r w:rsidRPr="00690EA5">
              <w:rPr>
                <w:lang w:val="en-US"/>
              </w:rPr>
              <w:lastRenderedPageBreak/>
              <w:t xml:space="preserve">configurable timer (seconds) with which the client waits after being bootstrapped to register the first time with each to the server instances.  This provides an opportunity for a provisioning system to learn of the </w:t>
            </w:r>
            <w:proofErr w:type="spellStart"/>
            <w:r w:rsidRPr="00690EA5">
              <w:rPr>
                <w:lang w:val="en-US"/>
              </w:rPr>
              <w:t>deviceID</w:t>
            </w:r>
            <w:proofErr w:type="spellEnd"/>
            <w:r w:rsidRPr="00690EA5">
              <w:rPr>
                <w:lang w:val="en-US"/>
              </w:rPr>
              <w:t xml:space="preserve"> and </w:t>
            </w:r>
            <w:proofErr w:type="spellStart"/>
            <w:r w:rsidRPr="00690EA5">
              <w:rPr>
                <w:lang w:val="en-US"/>
              </w:rPr>
              <w:t>bs</w:t>
            </w:r>
            <w:proofErr w:type="spellEnd"/>
            <w:r w:rsidRPr="00690EA5">
              <w:rPr>
                <w:lang w:val="en-US"/>
              </w:rPr>
              <w:t>/ created credentials and provision them to the proper server instances prior to client registering</w:t>
            </w:r>
          </w:p>
        </w:tc>
        <w:tc>
          <w:tcPr>
            <w:tcW w:w="2529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51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AC67E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A36650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B4</w:t>
            </w:r>
          </w:p>
        </w:tc>
        <w:tc>
          <w:tcPr>
            <w:tcW w:w="2531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In TS 1.0 handling multiples resource instances  is painful to use</w:t>
            </w:r>
            <w:r w:rsidR="00533537">
              <w:rPr>
                <w:lang w:val="en-US"/>
              </w:rPr>
              <w:t xml:space="preserve"> </w:t>
            </w:r>
            <w:r w:rsidR="00533537" w:rsidRPr="00533537">
              <w:rPr>
                <w:color w:val="FF0000"/>
                <w:lang w:val="en-US"/>
              </w:rPr>
              <w:t>(In field scenarios without having ability to address resources directly in the LwM2M command it creates multiple handshake’s)</w:t>
            </w:r>
          </w:p>
        </w:tc>
        <w:tc>
          <w:tcPr>
            <w:tcW w:w="2529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Extended addressing for multiple resource instances</w:t>
            </w:r>
          </w:p>
        </w:tc>
        <w:tc>
          <w:tcPr>
            <w:tcW w:w="1451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ARM,</w:t>
            </w:r>
          </w:p>
          <w:p w:rsidR="007F10C5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7F10C5">
              <w:rPr>
                <w:lang w:val="en-US"/>
              </w:rPr>
              <w:t>, 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A36650">
        <w:tc>
          <w:tcPr>
            <w:tcW w:w="614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2531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2529" w:type="dxa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ACL to be extended for resource level. </w:t>
            </w:r>
          </w:p>
        </w:tc>
        <w:tc>
          <w:tcPr>
            <w:tcW w:w="1451" w:type="dxa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7F10C5" w:rsidP="00B05994">
            <w:pPr>
              <w:rPr>
                <w:lang w:val="en-US"/>
              </w:rPr>
            </w:pPr>
            <w:r>
              <w:rPr>
                <w:lang w:val="en-US"/>
              </w:rPr>
              <w:t>(Nokia)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A36650">
        <w:tc>
          <w:tcPr>
            <w:tcW w:w="614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B5</w:t>
            </w:r>
          </w:p>
        </w:tc>
        <w:tc>
          <w:tcPr>
            <w:tcW w:w="2531" w:type="dxa"/>
            <w:shd w:val="clear" w:color="auto" w:fill="E7E6E6" w:themeFill="background2"/>
            <w:hideMark/>
          </w:tcPr>
          <w:p w:rsidR="00E85D88" w:rsidRDefault="00E85D88" w:rsidP="00E85D88">
            <w:pPr>
              <w:rPr>
                <w:lang w:val="en-US"/>
              </w:rPr>
            </w:pPr>
            <w:r w:rsidRPr="00533537">
              <w:rPr>
                <w:strike/>
                <w:lang w:val="en-US"/>
              </w:rPr>
              <w:t>OMA-</w:t>
            </w:r>
            <w:r>
              <w:rPr>
                <w:lang w:val="en-US"/>
              </w:rPr>
              <w:t>JSON has good capability but comp</w:t>
            </w:r>
            <w:r w:rsidR="00533537">
              <w:rPr>
                <w:lang w:val="en-US"/>
              </w:rPr>
              <w:t xml:space="preserve">actness is far from the OMA-TLV. </w:t>
            </w:r>
            <w:r w:rsidR="00533537" w:rsidRPr="00157C15">
              <w:rPr>
                <w:color w:val="FF0000"/>
                <w:lang w:val="en-US"/>
              </w:rPr>
              <w:t xml:space="preserve">In order to reduce the size </w:t>
            </w:r>
            <w:r w:rsidR="00157C15" w:rsidRPr="00157C15">
              <w:rPr>
                <w:color w:val="FF0000"/>
                <w:lang w:val="en-US"/>
              </w:rPr>
              <w:t xml:space="preserve">of payload </w:t>
            </w:r>
            <w:r w:rsidR="00533537" w:rsidRPr="00157C15">
              <w:rPr>
                <w:color w:val="FF0000"/>
                <w:lang w:val="en-US"/>
              </w:rPr>
              <w:t xml:space="preserve">further CBOR can be utilized in LwM2M to achieve better compression as well utilize all the </w:t>
            </w:r>
            <w:r w:rsidR="00157C15" w:rsidRPr="00157C15">
              <w:rPr>
                <w:color w:val="FF0000"/>
                <w:lang w:val="en-US"/>
              </w:rPr>
              <w:t>functionalities provided by JSON.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529" w:type="dxa"/>
            <w:shd w:val="clear" w:color="auto" w:fill="E7E6E6" w:themeFill="background2"/>
          </w:tcPr>
          <w:p w:rsid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OMA-CBOR compact Media Type</w:t>
            </w:r>
          </w:p>
          <w:p w:rsidR="006B05F1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introduction</w:t>
            </w:r>
          </w:p>
        </w:tc>
        <w:tc>
          <w:tcPr>
            <w:tcW w:w="1451" w:type="dxa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  <w:r w:rsidR="006B05F1">
              <w:rPr>
                <w:lang w:val="en-US"/>
              </w:rPr>
              <w:t xml:space="preserve"> 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  <w:p w:rsidR="007F10C5" w:rsidRDefault="007F10C5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A36650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B6</w:t>
            </w:r>
          </w:p>
        </w:tc>
        <w:tc>
          <w:tcPr>
            <w:tcW w:w="2531" w:type="dxa"/>
            <w:shd w:val="clear" w:color="auto" w:fill="DEEAF6" w:themeFill="accent1" w:themeFillTint="33"/>
            <w:hideMark/>
          </w:tcPr>
          <w:p w:rsidR="006B05F1" w:rsidRP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Remove the last limitation for  Incremental Bootstrap capability</w:t>
            </w:r>
          </w:p>
        </w:tc>
        <w:tc>
          <w:tcPr>
            <w:tcW w:w="2529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Bootstrap Enhancement</w:t>
            </w:r>
          </w:p>
        </w:tc>
        <w:tc>
          <w:tcPr>
            <w:tcW w:w="1451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A36650">
        <w:tc>
          <w:tcPr>
            <w:tcW w:w="614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B7</w:t>
            </w:r>
          </w:p>
        </w:tc>
        <w:tc>
          <w:tcPr>
            <w:tcW w:w="2531" w:type="dxa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An Instance of a virtual object refers resources of various Object Instances</w:t>
            </w:r>
            <w:r w:rsidR="00157C15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529" w:type="dxa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Virtual Object Concept</w:t>
            </w:r>
          </w:p>
        </w:tc>
        <w:tc>
          <w:tcPr>
            <w:tcW w:w="1451" w:type="dxa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ORANGE, U-</w:t>
            </w:r>
            <w:proofErr w:type="spellStart"/>
            <w:r>
              <w:rPr>
                <w:lang w:val="en-US"/>
              </w:rPr>
              <w:t>Blox</w:t>
            </w:r>
            <w:proofErr w:type="spellEnd"/>
            <w:r>
              <w:rPr>
                <w:lang w:val="en-US"/>
              </w:rPr>
              <w:t>, HUAWEI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A36650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B9</w:t>
            </w:r>
          </w:p>
        </w:tc>
        <w:tc>
          <w:tcPr>
            <w:tcW w:w="2531" w:type="dxa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Generalized framework for extending LwM2M Security (SE,  eUICC-M2M support)</w:t>
            </w:r>
            <w:r w:rsidR="00F57750">
              <w:rPr>
                <w:lang w:val="en-US"/>
              </w:rPr>
              <w:t xml:space="preserve">. </w:t>
            </w:r>
          </w:p>
        </w:tc>
        <w:tc>
          <w:tcPr>
            <w:tcW w:w="2529" w:type="dxa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Secure Element Support</w:t>
            </w:r>
          </w:p>
        </w:tc>
        <w:tc>
          <w:tcPr>
            <w:tcW w:w="1451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40690B">
              <w:rPr>
                <w:lang w:val="en-US"/>
              </w:rPr>
              <w:t>, 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441FBC" w:rsidTr="00A3665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B10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1) Aggregation of service and DM data in a single message</w:t>
            </w:r>
          </w:p>
          <w:p w:rsidR="00441FBC" w:rsidRDefault="00441FBC">
            <w:r>
              <w:t>2) Observing multiple resources with a single notify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 xml:space="preserve">Define New LwM2M operations with binding to </w:t>
            </w:r>
            <w:proofErr w:type="spellStart"/>
            <w:r>
              <w:t>CoAP</w:t>
            </w:r>
            <w:proofErr w:type="spellEnd"/>
            <w:r>
              <w:t xml:space="preserve"> FETCH and PATCH methods as sp</w:t>
            </w:r>
            <w:bookmarkStart w:id="0" w:name="_GoBack"/>
            <w:bookmarkEnd w:id="0"/>
            <w:r>
              <w:t>ecified in RFC 8132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2017_INP89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u-</w:t>
            </w:r>
            <w:proofErr w:type="spellStart"/>
            <w:r>
              <w:t>blox</w:t>
            </w:r>
            <w:proofErr w:type="spellEnd"/>
            <w:r>
              <w:t>, Huawei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1.x</w:t>
            </w:r>
          </w:p>
        </w:tc>
      </w:tr>
      <w:tr w:rsidR="006F4A13" w:rsidTr="00A36650">
        <w:tc>
          <w:tcPr>
            <w:tcW w:w="614" w:type="dxa"/>
            <w:shd w:val="clear" w:color="auto" w:fill="E7E6E6" w:themeFill="background2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t>B10’</w:t>
            </w:r>
          </w:p>
        </w:tc>
        <w:tc>
          <w:tcPr>
            <w:tcW w:w="2531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get/observe resource data from the different objects at the same time, a mechanism that reports the data in a single message instead of in several messages is desirable to reduce the number of message exchanges, so as to save the power consumption and the bandwidth of the constrained device/network.</w:t>
            </w:r>
          </w:p>
        </w:tc>
        <w:tc>
          <w:tcPr>
            <w:tcW w:w="2529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Support aggregation of resource data from different objects in a single reporting message.</w:t>
            </w:r>
          </w:p>
        </w:tc>
        <w:tc>
          <w:tcPr>
            <w:tcW w:w="1451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bookmarkStart w:id="1" w:name="OLE_LINK1"/>
            <w:r>
              <w:rPr>
                <w:lang w:val="en-US"/>
              </w:rPr>
              <w:t>2017_INP74</w:t>
            </w:r>
            <w:bookmarkEnd w:id="1"/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F4A13" w:rsidTr="00A36650">
        <w:tc>
          <w:tcPr>
            <w:tcW w:w="614" w:type="dxa"/>
            <w:shd w:val="clear" w:color="auto" w:fill="DEEAF6" w:themeFill="accent1" w:themeFillTint="33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t>B11</w:t>
            </w:r>
          </w:p>
        </w:tc>
        <w:tc>
          <w:tcPr>
            <w:tcW w:w="2531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issue the same commands or data to a group devices, a group multicast mechanism can increase transmission efficiency and save the bandwidth.</w:t>
            </w:r>
          </w:p>
        </w:tc>
        <w:tc>
          <w:tcPr>
            <w:tcW w:w="2529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Support group multicast (RFC7390) for issuing the same commands or data to a group of devices.</w:t>
            </w:r>
          </w:p>
        </w:tc>
        <w:tc>
          <w:tcPr>
            <w:tcW w:w="1451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2017_INP83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A36650">
        <w:tc>
          <w:tcPr>
            <w:tcW w:w="614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B12</w:t>
            </w:r>
          </w:p>
        </w:tc>
        <w:tc>
          <w:tcPr>
            <w:tcW w:w="2531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Extended support of the PKI infrastructure</w:t>
            </w:r>
          </w:p>
        </w:tc>
        <w:tc>
          <w:tcPr>
            <w:tcW w:w="2529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 new certificate provisioning types, and discuss secure time and revocation strategy</w:t>
            </w:r>
          </w:p>
        </w:tc>
        <w:tc>
          <w:tcPr>
            <w:tcW w:w="1451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2017-0042-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INP_security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features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A36650">
        <w:tc>
          <w:tcPr>
            <w:tcW w:w="614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B13</w:t>
            </w:r>
          </w:p>
        </w:tc>
        <w:tc>
          <w:tcPr>
            <w:tcW w:w="2531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 xml:space="preserve">Alignment with 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 xml:space="preserve"> DTLS/TLS security recommendations</w:t>
            </w:r>
          </w:p>
        </w:tc>
        <w:tc>
          <w:tcPr>
            <w:tcW w:w="2529" w:type="dxa"/>
            <w:shd w:val="clear" w:color="auto" w:fill="DEEAF6" w:themeFill="accent1" w:themeFillTint="33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1451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2017-0043-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INP_rfc7925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_support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A36650">
        <w:tc>
          <w:tcPr>
            <w:tcW w:w="614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B14</w:t>
            </w:r>
          </w:p>
        </w:tc>
        <w:tc>
          <w:tcPr>
            <w:tcW w:w="2531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Adding support for user identity management</w:t>
            </w:r>
          </w:p>
        </w:tc>
        <w:tc>
          <w:tcPr>
            <w:tcW w:w="2529" w:type="dxa"/>
            <w:shd w:val="clear" w:color="auto" w:fill="E7E6E6" w:themeFill="background2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1451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2017-0044-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INP_user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identity_</w:t>
            </w:r>
            <w:r w:rsidR="00235EB0">
              <w:rPr>
                <w:lang w:val="en-US"/>
              </w:rPr>
              <w:t xml:space="preserve">  </w:t>
            </w:r>
            <w:r>
              <w:rPr>
                <w:lang w:val="en-US"/>
              </w:rPr>
              <w:t>management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</w:tbl>
    <w:p w:rsidR="00E637FF" w:rsidRPr="00E637FF" w:rsidRDefault="00E637FF">
      <w:pPr>
        <w:rPr>
          <w:lang w:val="en-US"/>
        </w:rPr>
      </w:pPr>
    </w:p>
    <w:sectPr w:rsidR="00E637FF" w:rsidRPr="00E63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E7"/>
    <w:rsid w:val="001247BB"/>
    <w:rsid w:val="00157C15"/>
    <w:rsid w:val="00235EB0"/>
    <w:rsid w:val="00355BEB"/>
    <w:rsid w:val="003D4367"/>
    <w:rsid w:val="003F3A65"/>
    <w:rsid w:val="0040690B"/>
    <w:rsid w:val="00441FBC"/>
    <w:rsid w:val="004426AC"/>
    <w:rsid w:val="00533537"/>
    <w:rsid w:val="005635B7"/>
    <w:rsid w:val="0058031D"/>
    <w:rsid w:val="005D433C"/>
    <w:rsid w:val="0068534B"/>
    <w:rsid w:val="00690EA5"/>
    <w:rsid w:val="006B05F1"/>
    <w:rsid w:val="006F4A13"/>
    <w:rsid w:val="00756C77"/>
    <w:rsid w:val="00757525"/>
    <w:rsid w:val="00775A8F"/>
    <w:rsid w:val="007F10C5"/>
    <w:rsid w:val="009F4B8D"/>
    <w:rsid w:val="00A128A1"/>
    <w:rsid w:val="00A36650"/>
    <w:rsid w:val="00AB17E7"/>
    <w:rsid w:val="00AC67E2"/>
    <w:rsid w:val="00B17C29"/>
    <w:rsid w:val="00B30EDD"/>
    <w:rsid w:val="00BB410E"/>
    <w:rsid w:val="00BE7ED2"/>
    <w:rsid w:val="00BF48D9"/>
    <w:rsid w:val="00E35DB9"/>
    <w:rsid w:val="00E637FF"/>
    <w:rsid w:val="00E85D88"/>
    <w:rsid w:val="00F536A2"/>
    <w:rsid w:val="00F57750"/>
    <w:rsid w:val="00FA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09F81"/>
  <w15:chartTrackingRefBased/>
  <w15:docId w15:val="{87928E17-56E5-40F0-A70F-F2F36164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3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43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32"/>
      <w:szCs w:val="29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D43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5D433C"/>
    <w:rPr>
      <w:rFonts w:asciiTheme="majorHAnsi" w:eastAsiaTheme="majorEastAsia" w:hAnsiTheme="majorHAnsi" w:cstheme="majorBidi"/>
      <w:spacing w:val="-10"/>
      <w:kern w:val="28"/>
      <w:sz w:val="56"/>
      <w:szCs w:val="5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26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CE729-7325-48A4-948A-9AE8D10E5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6</cp:revision>
  <dcterms:created xsi:type="dcterms:W3CDTF">2017-04-11T10:25:00Z</dcterms:created>
  <dcterms:modified xsi:type="dcterms:W3CDTF">2017-04-11T10:27:00Z</dcterms:modified>
</cp:coreProperties>
</file>