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76D96" w:rsidP="00D774E2">
            <w:pPr>
              <w:pStyle w:val="FrontMatter"/>
              <w:tabs>
                <w:tab w:val="clear" w:pos="1710"/>
                <w:tab w:val="clear" w:pos="3780"/>
              </w:tabs>
              <w:ind w:left="0" w:firstLine="0"/>
            </w:pPr>
            <w:r>
              <w:t>ATIS CSF (Cloud Service Forum)</w:t>
            </w:r>
          </w:p>
        </w:tc>
        <w:tc>
          <w:tcPr>
            <w:tcW w:w="2880" w:type="dxa"/>
          </w:tcPr>
          <w:p w:rsidR="00E15272" w:rsidRDefault="0065254A">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0A57"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5254A"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p w:rsidR="004B6754" w:rsidRPr="008C2207" w:rsidRDefault="004B6754" w:rsidP="00C038A3">
            <w:pPr>
              <w:pStyle w:val="FrontMatter"/>
              <w:tabs>
                <w:tab w:val="clear" w:pos="1710"/>
                <w:tab w:val="clear" w:pos="3780"/>
              </w:tabs>
              <w:ind w:left="0" w:firstLine="0"/>
            </w:pPr>
            <w:r>
              <w:t xml:space="preserve">Serge Manning, Huawei Technologies, </w:t>
            </w:r>
            <w:hyperlink r:id="rId8" w:history="1">
              <w:r w:rsidRPr="00E2435E">
                <w:rPr>
                  <w:rStyle w:val="Hyperlink"/>
                </w:rPr>
                <w:t>serge.manning@huawei.com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F97B97">
            <w:pPr>
              <w:pStyle w:val="FrontMatter"/>
              <w:tabs>
                <w:tab w:val="clear" w:pos="1710"/>
                <w:tab w:val="clear" w:pos="3780"/>
              </w:tabs>
              <w:ind w:left="0" w:firstLine="0"/>
            </w:pPr>
            <w:r>
              <w:rPr>
                <w:rFonts w:cs="Arial"/>
                <w:color w:val="000000"/>
              </w:rPr>
              <w:t>OMA-BOD-CLOUD-2011-0058-CR_ATIS_CSF</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the analysis of ATIS CSF</w:t>
      </w:r>
      <w:r w:rsidR="0038165A">
        <w:t>.</w:t>
      </w:r>
      <w:ins w:id="0" w:author="Hu Bin 00901719" w:date="2011-06-22T12:18:00Z">
        <w:r w:rsidR="00E53D0C">
          <w:t xml:space="preserve"> The R01 version had several editorial changes compared to original 0058.</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Chapter 5 ATIS Cloud Service Forum</w:t>
      </w:r>
    </w:p>
    <w:p w:rsidR="00B27112" w:rsidRDefault="00B27112" w:rsidP="00B27112">
      <w:pPr>
        <w:pStyle w:val="Heading1"/>
        <w:numPr>
          <w:ilvl w:val="0"/>
          <w:numId w:val="0"/>
        </w:numPr>
        <w:tabs>
          <w:tab w:val="clear" w:pos="9634"/>
          <w:tab w:val="right" w:pos="9630"/>
        </w:tabs>
        <w:ind w:left="504" w:hanging="504"/>
      </w:pPr>
      <w:bookmarkStart w:id="1" w:name="_Toc295769289"/>
      <w:r>
        <w:lastRenderedPageBreak/>
        <w:t>5. ATIS Cloud Service Forum</w:t>
      </w:r>
      <w:bookmarkEnd w:id="1"/>
    </w:p>
    <w:p w:rsidR="00B27112" w:rsidRDefault="0088287B" w:rsidP="009F4DC4">
      <w:pPr>
        <w:jc w:val="both"/>
        <w:rPr>
          <w:lang w:val="en-US"/>
        </w:rPr>
      </w:pPr>
      <w:r>
        <w:rPr>
          <w:lang w:val="en-US"/>
        </w:rPr>
        <w:t>The Alliance for Telecommunications Industry Solutions (ATIS)</w:t>
      </w:r>
      <w:r w:rsidR="00DA4DEE">
        <w:rPr>
          <w:lang w:val="en-US"/>
        </w:rPr>
        <w:t xml:space="preserve"> </w:t>
      </w:r>
      <w:r w:rsidR="00546F3B">
        <w:rPr>
          <w:lang w:val="en-US"/>
        </w:rPr>
        <w:t xml:space="preserve">is a </w:t>
      </w:r>
      <w:r w:rsidR="008B7111">
        <w:rPr>
          <w:lang w:val="en-US"/>
        </w:rPr>
        <w:t>standards organization that develops technical and operational standards for the telecommunication industry.</w:t>
      </w:r>
      <w:r w:rsidR="009F4DC4">
        <w:rPr>
          <w:lang w:val="en-US"/>
        </w:rPr>
        <w:t xml:space="preserve"> ATIS is headquartered in Washington, D.C. and accredited by the American National Standards Institute (ANSI).</w:t>
      </w:r>
    </w:p>
    <w:p w:rsidR="00DC23D0" w:rsidRPr="005A3A00" w:rsidRDefault="006F39F2" w:rsidP="009F4DC4">
      <w:pPr>
        <w:jc w:val="both"/>
        <w:rPr>
          <w:lang w:val="en-US"/>
        </w:rPr>
      </w:pPr>
      <w:r>
        <w:rPr>
          <w:lang w:val="en-US"/>
        </w:rPr>
        <w:t xml:space="preserve">ATIS has </w:t>
      </w:r>
      <w:r w:rsidR="00371493">
        <w:rPr>
          <w:lang w:val="en-US"/>
        </w:rPr>
        <w:t>more than 20</w:t>
      </w:r>
      <w:r>
        <w:rPr>
          <w:lang w:val="en-US"/>
        </w:rPr>
        <w:t xml:space="preserve">0 member companies, including </w:t>
      </w:r>
      <w:r w:rsidR="00371493">
        <w:rPr>
          <w:lang w:val="en-US"/>
        </w:rPr>
        <w:t>various telecommunication service providers, equipment manufacturers and vendors. ATIS encompasses numerous industry committees and for</w:t>
      </w:r>
      <w:r w:rsidR="007F2244">
        <w:rPr>
          <w:lang w:val="en-US"/>
        </w:rPr>
        <w:t>ums</w:t>
      </w:r>
      <w:r w:rsidR="00371493">
        <w:rPr>
          <w:lang w:val="en-US"/>
        </w:rPr>
        <w:t xml:space="preserve">, </w:t>
      </w:r>
      <w:r w:rsidR="007F2244">
        <w:rPr>
          <w:lang w:val="en-US"/>
        </w:rPr>
        <w:t xml:space="preserve">which discuss, evaluate and author guidelines concerning such topics </w:t>
      </w:r>
      <w:r w:rsidR="00473C27">
        <w:rPr>
          <w:lang w:val="en-US"/>
        </w:rPr>
        <w:t>as data security, network reliability, technological interoperability, subscription services and product labeling.</w:t>
      </w:r>
    </w:p>
    <w:p w:rsidR="00B27112" w:rsidRDefault="008505D5" w:rsidP="00205716">
      <w:pPr>
        <w:pStyle w:val="Heading2"/>
        <w:numPr>
          <w:ilvl w:val="1"/>
          <w:numId w:val="28"/>
        </w:numPr>
      </w:pPr>
      <w:r>
        <w:t>ATIS CSF Overview</w:t>
      </w:r>
    </w:p>
    <w:p w:rsidR="008505D5" w:rsidRDefault="008505D5" w:rsidP="008505D5">
      <w:pPr>
        <w:jc w:val="both"/>
      </w:pPr>
      <w:r w:rsidRPr="00DC23D0">
        <w:t xml:space="preserve">The ATIS Board recently approved the launch of the </w:t>
      </w:r>
      <w:r w:rsidRPr="00DC23D0">
        <w:rPr>
          <w:rStyle w:val="sidemenu1"/>
          <w:rFonts w:ascii="Times New Roman" w:hAnsi="Times New Roman"/>
          <w:color w:val="auto"/>
          <w:sz w:val="20"/>
          <w:szCs w:val="20"/>
        </w:rPr>
        <w:t>Cloud Services Forum (CSF)</w:t>
      </w:r>
      <w:r w:rsidRPr="00DC23D0">
        <w:t>. The Forum will focus, among other things, on the operators' provision of cloud services, and develop a framework to ensure integration of the network and IT. It will account for basic APIs in the control plane layer of the network rather than as a service on the network, define a minimum set of API</w:t>
      </w:r>
      <w:ins w:id="2" w:author="Hu Bin 00901719" w:date="2011-06-22T12:19:00Z">
        <w:r w:rsidR="00DD47D2">
          <w:t xml:space="preserve"> requirement</w:t>
        </w:r>
      </w:ins>
      <w:r w:rsidRPr="00DC23D0">
        <w:t>s to expose between service providers, and define interoperability, security, and standardization, among other things, between service provider clouds.</w:t>
      </w:r>
    </w:p>
    <w:p w:rsidR="008505D5" w:rsidRDefault="008505D5" w:rsidP="008505D5">
      <w:pPr>
        <w:jc w:val="both"/>
      </w:pPr>
      <w:r w:rsidRPr="00DC23D0">
        <w:t xml:space="preserve">Drawing upon business use cases that leverage Cloud Services' potential, the Forum will address industry priorities and develop implementable solutions for the evolving Cloud marketplace. Ultimately, the CSF will work to see that Cloud capabilities are quickly </w:t>
      </w:r>
      <w:proofErr w:type="spellStart"/>
      <w:r w:rsidRPr="00DC23D0">
        <w:t>operationalized</w:t>
      </w:r>
      <w:proofErr w:type="spellEnd"/>
      <w:r w:rsidRPr="00DC23D0">
        <w:t xml:space="preserve"> and </w:t>
      </w:r>
      <w:del w:id="3" w:author="Hu Bin 00901719" w:date="2011-06-22T12:20:00Z">
        <w:r w:rsidRPr="00DC23D0" w:rsidDel="0034531B">
          <w:delText xml:space="preserve">operators are able to offer </w:delText>
        </w:r>
      </w:del>
      <w:r w:rsidRPr="00DC23D0">
        <w:t xml:space="preserve">managed </w:t>
      </w:r>
      <w:ins w:id="4" w:author="Hu Bin 00901719" w:date="2011-06-22T12:20:00Z">
        <w:r w:rsidR="0034531B">
          <w:t xml:space="preserve">cloud </w:t>
        </w:r>
      </w:ins>
      <w:r w:rsidRPr="00DC23D0">
        <w:t>services</w:t>
      </w:r>
      <w:ins w:id="5" w:author="Hu Bin 00901719" w:date="2011-06-22T12:20:00Z">
        <w:r w:rsidR="0034531B" w:rsidRPr="0034531B">
          <w:t xml:space="preserve"> </w:t>
        </w:r>
        <w:r w:rsidR="0034531B">
          <w:t>can be offered across operator boundaries</w:t>
        </w:r>
      </w:ins>
      <w:r w:rsidRPr="00DC23D0">
        <w:t xml:space="preserve">. </w:t>
      </w:r>
    </w:p>
    <w:p w:rsidR="008505D5" w:rsidRDefault="004F4548" w:rsidP="008505D5">
      <w:pPr>
        <w:jc w:val="both"/>
      </w:pPr>
      <w:r w:rsidRPr="005A3A00">
        <w:rPr>
          <w:rStyle w:val="plain11"/>
          <w:rFonts w:ascii="Times New Roman" w:hAnsi="Times New Roman"/>
          <w:color w:val="auto"/>
          <w:sz w:val="20"/>
          <w:szCs w:val="20"/>
        </w:rPr>
        <w:t>Representatives of major telecommunications service providers, network vendors and software developers make up the Forum, working to leverage core network and service attributes to ad</w:t>
      </w:r>
      <w:r>
        <w:rPr>
          <w:rStyle w:val="plain11"/>
          <w:rFonts w:ascii="Times New Roman" w:hAnsi="Times New Roman"/>
          <w:color w:val="auto"/>
          <w:sz w:val="20"/>
          <w:szCs w:val="20"/>
        </w:rPr>
        <w:t>opt, advance and deliver Cloud C</w:t>
      </w:r>
      <w:r w:rsidRPr="005A3A00">
        <w:rPr>
          <w:rStyle w:val="plain11"/>
          <w:rFonts w:ascii="Times New Roman" w:hAnsi="Times New Roman"/>
          <w:color w:val="auto"/>
          <w:sz w:val="20"/>
          <w:szCs w:val="20"/>
        </w:rPr>
        <w:t>omputing services.</w:t>
      </w:r>
      <w:r>
        <w:rPr>
          <w:rStyle w:val="plain11"/>
          <w:rFonts w:ascii="Times New Roman" w:hAnsi="Times New Roman"/>
          <w:color w:val="auto"/>
          <w:sz w:val="20"/>
          <w:szCs w:val="20"/>
        </w:rPr>
        <w:t xml:space="preserve"> </w:t>
      </w:r>
      <w:r w:rsidR="008505D5" w:rsidRPr="00DC23D0">
        <w:t xml:space="preserve">The work launched by this Forum will ensure that cloud services </w:t>
      </w:r>
      <w:r w:rsidR="008505D5">
        <w:t>–</w:t>
      </w:r>
      <w:r w:rsidR="008505D5" w:rsidRPr="00DC23D0">
        <w:t xml:space="preserve"> as</w:t>
      </w:r>
      <w:r w:rsidR="008505D5">
        <w:t xml:space="preserve"> </w:t>
      </w:r>
      <w:r w:rsidR="008505D5" w:rsidRPr="00DC23D0">
        <w:t xml:space="preserve">offered by service providers </w:t>
      </w:r>
      <w:r w:rsidR="008505D5">
        <w:t xml:space="preserve">– are </w:t>
      </w:r>
      <w:r w:rsidR="008505D5" w:rsidRPr="00DC23D0">
        <w:t xml:space="preserve">quickly </w:t>
      </w:r>
      <w:proofErr w:type="spellStart"/>
      <w:r w:rsidR="008505D5" w:rsidRPr="00DC23D0">
        <w:t>operationalized</w:t>
      </w:r>
      <w:proofErr w:type="spellEnd"/>
      <w:r w:rsidR="008505D5" w:rsidRPr="00DC23D0">
        <w:t xml:space="preserve"> to facilitate the delivery of interoperable, secure and managed services. </w:t>
      </w:r>
    </w:p>
    <w:p w:rsidR="002F3818" w:rsidRDefault="002F3818" w:rsidP="002F3818">
      <w:pPr>
        <w:jc w:val="center"/>
      </w:pPr>
      <w:r w:rsidRPr="002F3818">
        <w:rPr>
          <w:noProof/>
          <w:lang w:val="en-US" w:eastAsia="zh-CN"/>
        </w:rPr>
        <w:drawing>
          <wp:inline distT="0" distB="0" distL="0" distR="0">
            <wp:extent cx="5486400" cy="339153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581754" cy="5305425"/>
                      <a:chOff x="685800" y="638175"/>
                      <a:chExt cx="8581754" cy="5305425"/>
                    </a:xfrm>
                  </a:grpSpPr>
                  <a:grpSp>
                    <a:nvGrpSpPr>
                      <a:cNvPr id="91" name="Group 90"/>
                      <a:cNvGrpSpPr/>
                    </a:nvGrpSpPr>
                    <a:grpSpPr>
                      <a:xfrm>
                        <a:off x="685800" y="638175"/>
                        <a:ext cx="8581754" cy="5305425"/>
                        <a:chOff x="256092" y="506515"/>
                        <a:chExt cx="8581754" cy="5305425"/>
                      </a:xfrm>
                    </a:grpSpPr>
                    <a:sp>
                      <a:nvSpPr>
                        <a:cNvPr id="92" name="Can 91"/>
                        <a:cNvSpPr>
                          <a:spLocks noChangeArrowheads="1"/>
                        </a:cNvSpPr>
                      </a:nvSpPr>
                      <a:spPr bwMode="auto">
                        <a:xfrm rot="5400000">
                          <a:off x="5707886" y="2458204"/>
                          <a:ext cx="128996" cy="1031875"/>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93" name="Cloud 92"/>
                        <a:cNvSpPr/>
                      </a:nvSpPr>
                      <a:spPr bwMode="auto">
                        <a:xfrm>
                          <a:off x="2589446" y="506515"/>
                          <a:ext cx="6037318" cy="2028825"/>
                        </a:xfrm>
                        <a:prstGeom prst="cloud">
                          <a:avLst/>
                        </a:prstGeom>
                        <a:solidFill>
                          <a:srgbClr val="333399">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1</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Virtual Private Cloud</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(Compute, App/Platform &amp; VPNs)</a:t>
                            </a:r>
                            <a:endPar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94" name="Cloud 93"/>
                        <a:cNvSpPr/>
                      </a:nvSpPr>
                      <a:spPr bwMode="auto">
                        <a:xfrm>
                          <a:off x="2367730" y="3783115"/>
                          <a:ext cx="6089116" cy="2028825"/>
                        </a:xfrm>
                        <a:prstGeom prst="cloud">
                          <a:avLst/>
                        </a:prstGeom>
                        <a:solidFill>
                          <a:srgbClr val="808080"/>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1" u="sng"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rPr>
                              <a:t>Service Provider </a:t>
                            </a:r>
                            <a:r>
                              <a:rPr kumimoji="0" lang="en-US" sz="18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2</a:t>
                            </a:r>
                            <a:r>
                              <a:rPr kumimoji="0" lang="en-US" sz="1800" b="1" i="0"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 </a:t>
                            </a:r>
                            <a:r>
                              <a:rPr kumimoji="0" lang="en-US" sz="18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Virtual Private Cloud</a:t>
                            </a:r>
                            <a:endParaRPr kumimoji="0" lang="en-US" sz="1800" b="1" i="0" u="none" strike="noStrike" kern="0" cap="none" spc="0" normalizeH="0" baseline="0" noProof="0" dirty="0" smtClean="0">
                              <a:ln>
                                <a:noFill/>
                              </a:ln>
                              <a:solidFill>
                                <a:sysClr val="windowText" lastClr="000000"/>
                              </a:solidFill>
                              <a:effectLst/>
                              <a:uLnTx/>
                              <a:uFillTx/>
                              <a:latin typeface="Calibri"/>
                              <a:ea typeface="ＭＳ Ｐゴシック" pitchFamily="-65" charset="-128"/>
                              <a:cs typeface="Arial" charset="0"/>
                            </a:endParaRP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(Compute, App/Platform &amp; </a:t>
                            </a:r>
                            <a:r>
                              <a:rPr kumimoji="0" lang="en-US" sz="1800" b="1" i="0" u="none" strike="noStrike" kern="0" cap="none" spc="0" normalizeH="0" baseline="0" noProof="0" dirty="0" err="1" smtClean="0">
                                <a:ln>
                                  <a:noFill/>
                                </a:ln>
                                <a:solidFill>
                                  <a:sysClr val="windowText" lastClr="000000"/>
                                </a:solidFill>
                                <a:effectLst/>
                                <a:uLnTx/>
                                <a:uFillTx/>
                                <a:ea typeface="ＭＳ Ｐゴシック" pitchFamily="-65" charset="-128"/>
                                <a:cs typeface="Arial" charset="0"/>
                              </a:rPr>
                              <a:t>VPNs</a:t>
                            </a:r>
                            <a:r>
                              <a:rPr kumimoji="0" lang="en-US" sz="1800" b="1" i="0" u="none" strike="noStrike" kern="0" cap="none" spc="0" normalizeH="0" baseline="0" noProof="0" dirty="0" smtClean="0">
                                <a:ln>
                                  <a:noFill/>
                                </a:ln>
                                <a:solidFill>
                                  <a:sysClr val="windowText" lastClr="000000"/>
                                </a:solidFill>
                                <a:effectLst/>
                                <a:uLnTx/>
                                <a:uFillTx/>
                                <a:ea typeface="ＭＳ Ｐゴシック" pitchFamily="-65" charset="-128"/>
                                <a:cs typeface="Arial" charset="0"/>
                              </a:rPr>
                              <a:t>)</a:t>
                            </a:r>
                            <a:endParaRPr kumimoji="0" lang="en-US" sz="1800" b="1" i="0" u="none" strike="noStrike" kern="0" cap="none" spc="0" normalizeH="0" baseline="0" noProof="0" dirty="0">
                              <a:ln>
                                <a:noFill/>
                              </a:ln>
                              <a:solidFill>
                                <a:sysClr val="windowText" lastClr="000000"/>
                              </a:solidFill>
                              <a:effectLst/>
                              <a:uLnTx/>
                              <a:uFillTx/>
                              <a:ea typeface="ＭＳ Ｐゴシック" pitchFamily="-65" charset="-128"/>
                              <a:cs typeface="Arial" charset="0"/>
                            </a:endParaRPr>
                          </a:p>
                        </a:txBody>
                        <a:useSpRect/>
                      </a:txSp>
                    </a:sp>
                    <a:pic>
                      <a:nvPicPr>
                        <a:cNvPr id="95" name="Picture 2"/>
                        <a:cNvPicPr>
                          <a:picLocks noChangeAspect="1" noChangeArrowheads="1"/>
                        </a:cNvPicPr>
                      </a:nvPicPr>
                      <a:blipFill>
                        <a:blip r:embed="rId9" cstate="print"/>
                        <a:srcRect/>
                        <a:stretch>
                          <a:fillRect/>
                        </a:stretch>
                      </a:blipFill>
                      <a:spPr bwMode="auto">
                        <a:xfrm>
                          <a:off x="4265846" y="1954315"/>
                          <a:ext cx="242888" cy="398463"/>
                        </a:xfrm>
                        <a:prstGeom prst="rect">
                          <a:avLst/>
                        </a:prstGeom>
                        <a:noFill/>
                        <a:ln w="9525">
                          <a:noFill/>
                          <a:miter lim="800000"/>
                          <a:headEnd/>
                          <a:tailEnd/>
                        </a:ln>
                      </a:spPr>
                    </a:pic>
                    <a:pic>
                      <a:nvPicPr>
                        <a:cNvPr id="96" name="Picture 2"/>
                        <a:cNvPicPr>
                          <a:picLocks noChangeAspect="1" noChangeArrowheads="1"/>
                        </a:cNvPicPr>
                      </a:nvPicPr>
                      <a:blipFill>
                        <a:blip r:embed="rId9" cstate="print"/>
                        <a:srcRect/>
                        <a:stretch>
                          <a:fillRect/>
                        </a:stretch>
                      </a:blipFill>
                      <a:spPr bwMode="auto">
                        <a:xfrm>
                          <a:off x="4265846" y="4011715"/>
                          <a:ext cx="242888" cy="398463"/>
                        </a:xfrm>
                        <a:prstGeom prst="rect">
                          <a:avLst/>
                        </a:prstGeom>
                        <a:noFill/>
                        <a:ln w="9525">
                          <a:noFill/>
                          <a:miter lim="800000"/>
                          <a:headEnd/>
                          <a:tailEnd/>
                        </a:ln>
                      </a:spPr>
                    </a:pic>
                    <a:sp>
                      <a:nvSpPr>
                        <a:cNvPr id="97" name="Snip Single Corner Rectangle 96"/>
                        <a:cNvSpPr/>
                      </a:nvSpPr>
                      <a:spPr bwMode="auto">
                        <a:xfrm>
                          <a:off x="2955895" y="1716811"/>
                          <a:ext cx="10144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8" name="Snip Single Corner Rectangle 97"/>
                        <a:cNvSpPr/>
                      </a:nvSpPr>
                      <a:spPr bwMode="auto">
                        <a:xfrm>
                          <a:off x="2555681" y="5032623"/>
                          <a:ext cx="1166813" cy="603250"/>
                        </a:xfrm>
                        <a:prstGeom prst="snip1Rect">
                          <a:avLst/>
                        </a:prstGeom>
                        <a:solidFill>
                          <a:srgbClr val="000000">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Custom &amp; secure Apps</a:t>
                            </a:r>
                          </a:p>
                        </a:txBody>
                        <a:useSpRect/>
                      </a:txSp>
                    </a:sp>
                    <a:sp>
                      <a:nvSpPr>
                        <a:cNvPr id="99" name="Snip Single Corner Rectangle 98"/>
                        <a:cNvSpPr/>
                      </a:nvSpPr>
                      <a:spPr bwMode="auto">
                        <a:xfrm>
                          <a:off x="4646846" y="1801915"/>
                          <a:ext cx="1166813" cy="534988"/>
                        </a:xfrm>
                        <a:prstGeom prst="snip1Rect">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0" name="Snip Single Corner Rectangle 99"/>
                        <a:cNvSpPr/>
                      </a:nvSpPr>
                      <a:spPr bwMode="auto">
                        <a:xfrm>
                          <a:off x="4711937" y="5053857"/>
                          <a:ext cx="1166813" cy="534988"/>
                        </a:xfrm>
                        <a:prstGeom prst="snip1Rect">
                          <a:avLst/>
                        </a:prstGeom>
                        <a:solidFill>
                          <a:srgbClr val="FFFFFF">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Private parallel workloads</a:t>
                            </a:r>
                          </a:p>
                        </a:txBody>
                        <a:useSpRect/>
                      </a:txSp>
                    </a:sp>
                    <a:sp>
                      <a:nvSpPr>
                        <a:cNvPr id="101" name="Cloud 100"/>
                        <a:cNvSpPr/>
                      </a:nvSpPr>
                      <a:spPr bwMode="auto">
                        <a:xfrm>
                          <a:off x="6094646" y="2411515"/>
                          <a:ext cx="2743200" cy="1245141"/>
                        </a:xfrm>
                        <a:prstGeom prst="cloud">
                          <a:avLst/>
                        </a:prstGeom>
                        <a:gradFill rotWithShape="1">
                          <a:gsLst>
                            <a:gs pos="0">
                              <a:srgbClr val="FFFFFF">
                                <a:tint val="80000"/>
                                <a:satMod val="300000"/>
                              </a:srgbClr>
                            </a:gs>
                            <a:gs pos="100000">
                              <a:srgbClr val="FFFFFF">
                                <a:shade val="30000"/>
                                <a:satMod val="200000"/>
                              </a:srgbClr>
                            </a:gs>
                          </a:gsLst>
                          <a:path path="circle">
                            <a:fillToRect l="50000" t="50000" r="50000" b="50000"/>
                          </a:path>
                        </a:gra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Other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err="1">
                                <a:ln>
                                  <a:noFill/>
                                </a:ln>
                                <a:solidFill>
                                  <a:sysClr val="windowText" lastClr="000000"/>
                                </a:solidFill>
                                <a:effectLst/>
                                <a:uLnTx/>
                                <a:uFillTx/>
                                <a:latin typeface="Calibri"/>
                                <a:ea typeface="+mj-ea"/>
                                <a:cs typeface="Arial" charset="0"/>
                              </a:rPr>
                              <a:t>SaaS</a:t>
                            </a: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 </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rPr>
                              <a:t>Cloud</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600" b="1" i="0" u="none" strike="noStrike" kern="0" cap="none" spc="0" normalizeH="0" baseline="0" noProof="0" dirty="0">
                              <a:ln>
                                <a:noFill/>
                              </a:ln>
                              <a:solidFill>
                                <a:sysClr val="windowText" lastClr="000000"/>
                              </a:solidFill>
                              <a:effectLst/>
                              <a:uLnTx/>
                              <a:uFillTx/>
                              <a:latin typeface="Calibri"/>
                              <a:ea typeface="+mj-ea"/>
                              <a:cs typeface="Arial" charset="0"/>
                            </a:endParaRPr>
                          </a:p>
                        </a:txBody>
                        <a:useSpRect/>
                      </a:txSp>
                    </a:sp>
                    <a:sp>
                      <a:nvSpPr>
                        <a:cNvPr id="102" name="Snip Single Corner Rectangle 101"/>
                        <a:cNvSpPr/>
                      </a:nvSpPr>
                      <a:spPr bwMode="auto">
                        <a:xfrm>
                          <a:off x="7313846" y="2640115"/>
                          <a:ext cx="1166813" cy="533400"/>
                        </a:xfrm>
                        <a:prstGeom prst="snip1Rect">
                          <a:avLst/>
                        </a:prstGeom>
                        <a:solidFill>
                          <a:srgbClr val="BBE0E3">
                            <a:lumMod val="40000"/>
                            <a:lumOff val="6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App on other </a:t>
                            </a:r>
                            <a:r>
                              <a:rPr kumimoji="0" lang="en-US" sz="1200" b="0" i="0" u="none" strike="noStrike" kern="0" cap="none" spc="0" normalizeH="0" baseline="0" noProof="0" dirty="0" err="1">
                                <a:ln>
                                  <a:noFill/>
                                </a:ln>
                                <a:solidFill>
                                  <a:sysClr val="windowText" lastClr="000000"/>
                                </a:solidFill>
                                <a:effectLst/>
                                <a:uLnTx/>
                                <a:uFillTx/>
                                <a:latin typeface="Calibri"/>
                                <a:ea typeface="ＭＳ Ｐゴシック" pitchFamily="-65" charset="-128"/>
                                <a:cs typeface="Arial" charset="0"/>
                              </a:rPr>
                              <a:t>SaaS</a:t>
                            </a: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2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3" name="Can 102"/>
                        <a:cNvSpPr>
                          <a:spLocks noChangeArrowheads="1"/>
                        </a:cNvSpPr>
                      </a:nvSpPr>
                      <a:spPr bwMode="auto">
                        <a:xfrm>
                          <a:off x="4315820" y="2266358"/>
                          <a:ext cx="61648" cy="1802208"/>
                        </a:xfrm>
                        <a:prstGeom prst="can">
                          <a:avLst>
                            <a:gd name="adj" fmla="val 24756"/>
                          </a:avLst>
                        </a:prstGeom>
                        <a:solidFill>
                          <a:schemeClr val="bg1"/>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4" name="Can 103"/>
                        <a:cNvSpPr>
                          <a:spLocks noChangeArrowheads="1"/>
                        </a:cNvSpPr>
                      </a:nvSpPr>
                      <a:spPr bwMode="auto">
                        <a:xfrm>
                          <a:off x="4397785" y="2274234"/>
                          <a:ext cx="102980" cy="1806661"/>
                        </a:xfrm>
                        <a:prstGeom prst="can">
                          <a:avLst>
                            <a:gd name="adj" fmla="val 24756"/>
                          </a:avLst>
                        </a:prstGeom>
                        <a:solidFill>
                          <a:srgbClr val="000000">
                            <a:lumMod val="40000"/>
                            <a:lumOff val="6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pic>
                      <a:nvPicPr>
                        <a:cNvPr id="105" name="Picture 2"/>
                        <a:cNvPicPr>
                          <a:picLocks noChangeAspect="1" noChangeArrowheads="1"/>
                        </a:cNvPicPr>
                      </a:nvPicPr>
                      <a:blipFill>
                        <a:blip r:embed="rId9" cstate="print"/>
                        <a:srcRect/>
                        <a:stretch>
                          <a:fillRect/>
                        </a:stretch>
                      </a:blipFill>
                      <a:spPr bwMode="auto">
                        <a:xfrm>
                          <a:off x="6095083" y="2797138"/>
                          <a:ext cx="242888" cy="398463"/>
                        </a:xfrm>
                        <a:prstGeom prst="rect">
                          <a:avLst/>
                        </a:prstGeom>
                        <a:noFill/>
                        <a:ln w="9525">
                          <a:noFill/>
                          <a:miter lim="800000"/>
                          <a:headEnd/>
                          <a:tailEnd/>
                        </a:ln>
                      </a:spPr>
                    </a:pic>
                    <a:sp>
                      <a:nvSpPr>
                        <a:cNvPr id="106" name="Can 105"/>
                        <a:cNvSpPr>
                          <a:spLocks noChangeArrowheads="1"/>
                        </a:cNvSpPr>
                      </a:nvSpPr>
                      <a:spPr bwMode="auto">
                        <a:xfrm rot="5400000">
                          <a:off x="5578071" y="2587316"/>
                          <a:ext cx="101600" cy="1031875"/>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7" name="Cloud 106"/>
                        <a:cNvSpPr/>
                      </a:nvSpPr>
                      <a:spPr bwMode="auto">
                        <a:xfrm>
                          <a:off x="3580046" y="2716315"/>
                          <a:ext cx="1806575" cy="990600"/>
                        </a:xfrm>
                        <a:prstGeom prst="cloud">
                          <a:avLst/>
                        </a:prstGeom>
                        <a:solidFill>
                          <a:srgbClr val="FFFFFF">
                            <a:lumMod val="20000"/>
                            <a:lumOff val="80000"/>
                          </a:srgbClr>
                        </a:solidFill>
                        <a:ln w="9525" cap="flat" cmpd="sng" algn="ctr">
                          <a:solidFill>
                            <a:srgbClr val="000000"/>
                          </a:solidFill>
                          <a:prstDash val="solid"/>
                          <a:round/>
                          <a:headEnd type="none" w="med" len="med"/>
                          <a:tailEnd type="none" w="med" len="med"/>
                        </a:ln>
                        <a:effectLst/>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1" u="sng"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NNI </a:t>
                            </a: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Inter-Connect</a:t>
                            </a:r>
                          </a:p>
                          <a:p>
                            <a:pPr marL="0" marR="0" lvl="0" indent="0" defTabSz="914400" eaLnBrk="1" fontAlgn="auto" latinLnBrk="0" hangingPunct="1">
                              <a:lnSpc>
                                <a:spcPct val="100000"/>
                              </a:lnSpc>
                              <a:spcBef>
                                <a:spcPts val="0"/>
                              </a:spcBef>
                              <a:spcAft>
                                <a:spcPts val="0"/>
                              </a:spcAft>
                              <a:buClrTx/>
                              <a:buSzTx/>
                              <a:buFontTx/>
                              <a:buNone/>
                              <a:tabLst/>
                              <a:defRPr/>
                            </a:pPr>
                            <a:r>
                              <a:rPr kumimoji="0" lang="en-US" sz="1200" b="1"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rPr>
                              <a:t>(MPLS, IP or Ethernet)</a:t>
                            </a:r>
                          </a:p>
                          <a:p>
                            <a:pPr marL="0" marR="0" lvl="0" indent="0" defTabSz="914400" eaLnBrk="1" fontAlgn="auto" latinLnBrk="0" hangingPunct="1">
                              <a:lnSpc>
                                <a:spcPct val="100000"/>
                              </a:lnSpc>
                              <a:spcBef>
                                <a:spcPts val="0"/>
                              </a:spcBef>
                              <a:spcAft>
                                <a:spcPts val="0"/>
                              </a:spcAft>
                              <a:buClrTx/>
                              <a:buSzTx/>
                              <a:buFontTx/>
                              <a:buNone/>
                              <a:tabLst/>
                              <a:defRPr/>
                            </a:pPr>
                            <a:endParaRPr kumimoji="0" lang="en-US" sz="1800" b="0" i="0" u="none" strike="noStrike" kern="0" cap="none" spc="0" normalizeH="0" baseline="0" noProof="0" dirty="0">
                              <a:ln>
                                <a:noFill/>
                              </a:ln>
                              <a:solidFill>
                                <a:sysClr val="windowText" lastClr="000000"/>
                              </a:solidFill>
                              <a:effectLst/>
                              <a:uLnTx/>
                              <a:uFillTx/>
                              <a:latin typeface="Calibri"/>
                              <a:ea typeface="ＭＳ Ｐゴシック" pitchFamily="-65" charset="-128"/>
                              <a:cs typeface="Arial" charset="0"/>
                            </a:endParaRPr>
                          </a:p>
                        </a:txBody>
                        <a:useSpRect/>
                      </a:txSp>
                    </a:sp>
                    <a:sp>
                      <a:nvSpPr>
                        <a:cNvPr id="108" name="Can 107"/>
                        <a:cNvSpPr>
                          <a:spLocks noChangeArrowheads="1"/>
                        </a:cNvSpPr>
                      </a:nvSpPr>
                      <a:spPr bwMode="auto">
                        <a:xfrm rot="5400000">
                          <a:off x="1139046" y="3957215"/>
                          <a:ext cx="99313" cy="1701497"/>
                        </a:xfrm>
                        <a:prstGeom prst="can">
                          <a:avLst>
                            <a:gd name="adj" fmla="val 25156"/>
                          </a:avLst>
                        </a:prstGeom>
                        <a:solidFill>
                          <a:srgbClr val="FFFFFF"/>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09" name="Can 108"/>
                        <a:cNvSpPr>
                          <a:spLocks noChangeArrowheads="1"/>
                        </a:cNvSpPr>
                      </a:nvSpPr>
                      <a:spPr bwMode="auto">
                        <a:xfrm rot="5400000">
                          <a:off x="1116958" y="4526920"/>
                          <a:ext cx="131164" cy="1689167"/>
                        </a:xfrm>
                        <a:prstGeom prst="can">
                          <a:avLst>
                            <a:gd name="adj" fmla="val 25156"/>
                          </a:avLst>
                        </a:prstGeom>
                        <a:solidFill>
                          <a:srgbClr val="000000">
                            <a:lumMod val="20000"/>
                            <a:lumOff val="80000"/>
                          </a:srgbClr>
                        </a:solidFill>
                        <a:ln w="9525" algn="ctr">
                          <a:solidFill>
                            <a:srgbClr val="000000"/>
                          </a:solidFill>
                          <a:round/>
                          <a:headEnd/>
                          <a:tailEnd/>
                        </a:ln>
                      </a:spPr>
                      <a:txSp>
                        <a:txBody>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endParaRPr kumimoji="0" lang="en-GB" sz="1800" b="0" i="0" u="none" strike="noStrike" kern="0" cap="none" spc="0" normalizeH="0" baseline="0" noProof="0">
                              <a:ln>
                                <a:noFill/>
                              </a:ln>
                              <a:solidFill>
                                <a:sysClr val="windowText" lastClr="000000"/>
                              </a:solidFill>
                              <a:effectLst/>
                              <a:uLnTx/>
                              <a:uFillTx/>
                              <a:latin typeface="Calibri" pitchFamily="34" charset="0"/>
                              <a:cs typeface="Arial" charset="0"/>
                            </a:endParaRPr>
                          </a:p>
                        </a:txBody>
                        <a:useSpRect/>
                      </a:txSp>
                    </a:sp>
                    <a:sp>
                      <a:nvSpPr>
                        <a:cNvPr id="110" name="TextBox 109"/>
                        <a:cNvSpPr txBox="1"/>
                      </a:nvSpPr>
                      <a:spPr>
                        <a:xfrm>
                          <a:off x="448923" y="5005568"/>
                          <a:ext cx="1492178" cy="307777"/>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Data 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1" name="TextBox 110"/>
                        <a:cNvSpPr txBox="1"/>
                      </a:nvSpPr>
                      <a:spPr>
                        <a:xfrm>
                          <a:off x="256092" y="4146991"/>
                          <a:ext cx="1864613" cy="523220"/>
                        </a:xfrm>
                        <a:prstGeom prst="rect">
                          <a:avLst/>
                        </a:prstGeom>
                        <a:noFill/>
                      </a:spPr>
                      <a:txSp>
                        <a:txBody>
                          <a:bodyPr wrap="none" rtlCol="0">
                            <a:spAutoFit/>
                          </a:bodyP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Control/Management</a:t>
                            </a:r>
                          </a:p>
                          <a:p>
                            <a:pPr marL="0" marR="0" lvl="0" indent="0" algn="ctr" defTabSz="914400" eaLnBrk="1" fontAlgn="auto" latinLnBrk="0" hangingPunct="1">
                              <a:lnSpc>
                                <a:spcPct val="100000"/>
                              </a:lnSpc>
                              <a:spcBef>
                                <a:spcPts val="0"/>
                              </a:spcBef>
                              <a:spcAft>
                                <a:spcPts val="0"/>
                              </a:spcAft>
                              <a:buClrTx/>
                              <a:buSzTx/>
                              <a:buFontTx/>
                              <a:buNone/>
                              <a:tabLst/>
                              <a:defRPr/>
                            </a:pPr>
                            <a:r>
                              <a:rPr kumimoji="0" lang="en-US" sz="1400" b="0" i="0" u="none" strike="noStrike" kern="0" cap="none" spc="0" normalizeH="0" baseline="0" noProof="0" dirty="0" smtClean="0">
                                <a:ln>
                                  <a:noFill/>
                                </a:ln>
                                <a:solidFill>
                                  <a:sysClr val="windowText" lastClr="000000"/>
                                </a:solidFill>
                                <a:effectLst/>
                                <a:uLnTx/>
                                <a:uFillTx/>
                              </a:rPr>
                              <a:t>Plane Path</a:t>
                            </a:r>
                            <a:endParaRPr kumimoji="0" lang="en-US" sz="1400" b="0" i="0" u="none" strike="noStrike" kern="0" cap="none" spc="0" normalizeH="0" baseline="0" noProof="0" dirty="0">
                              <a:ln>
                                <a:noFill/>
                              </a:ln>
                              <a:solidFill>
                                <a:sysClr val="windowText" lastClr="000000"/>
                              </a:solidFill>
                              <a:effectLst/>
                              <a:uLnTx/>
                              <a:uFillTx/>
                            </a:endParaRPr>
                          </a:p>
                        </a:txBody>
                        <a:useSpRect/>
                      </a:txSp>
                    </a:sp>
                    <a:sp>
                      <a:nvSpPr>
                        <a:cNvPr id="112" name="Rounded Rectangular Callout 111"/>
                        <a:cNvSpPr/>
                      </a:nvSpPr>
                      <a:spPr>
                        <a:xfrm>
                          <a:off x="435430" y="1985748"/>
                          <a:ext cx="2277100" cy="1338022"/>
                        </a:xfrm>
                        <a:prstGeom prst="wedgeRoundRectCallout">
                          <a:avLst>
                            <a:gd name="adj1" fmla="val 118360"/>
                            <a:gd name="adj2" fmla="val -10614"/>
                            <a:gd name="adj3" fmla="val 16667"/>
                          </a:avLst>
                        </a:prstGeom>
                        <a:gradFill rotWithShape="1">
                          <a:gsLst>
                            <a:gs pos="0">
                              <a:srgbClr val="BBE0E3">
                                <a:shade val="51000"/>
                                <a:satMod val="130000"/>
                              </a:srgbClr>
                            </a:gs>
                            <a:gs pos="80000">
                              <a:srgbClr val="BBE0E3">
                                <a:shade val="93000"/>
                                <a:satMod val="130000"/>
                              </a:srgbClr>
                            </a:gs>
                            <a:gs pos="100000">
                              <a:srgbClr val="BBE0E3">
                                <a:shade val="94000"/>
                                <a:satMod val="135000"/>
                              </a:srgbClr>
                            </a:gs>
                          </a:gsLst>
                          <a:lin ang="16200000" scaled="0"/>
                        </a:gradFill>
                        <a:ln w="9525" cap="flat" cmpd="sng" algn="ctr">
                          <a:solidFill>
                            <a:srgbClr val="BBE0E3">
                              <a:shade val="95000"/>
                              <a:satMod val="105000"/>
                            </a:srgbClr>
                          </a:solidFill>
                          <a:prstDash val="solid"/>
                        </a:ln>
                        <a:effectLst>
                          <a:outerShdw blurRad="40000" dist="23000" dir="5400000" rotWithShape="0">
                            <a:srgbClr val="000000">
                              <a:alpha val="35000"/>
                            </a:srgbClr>
                          </a:outerShdw>
                        </a:effectLst>
                      </a:spPr>
                      <a:txSp>
                        <a:txBody>
                          <a:bodyPr rtlCol="0" anchor="ctr"/>
                          <a:lstStyle>
                            <a:defPPr>
                              <a:defRPr lang="en-US"/>
                            </a:defPPr>
                            <a:lvl1pPr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1pPr>
                            <a:lvl2pPr marL="4572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2pPr>
                            <a:lvl3pPr marL="9144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3pPr>
                            <a:lvl4pPr marL="13716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4pPr>
                            <a:lvl5pPr marL="1828800" algn="l" rtl="0" eaLnBrk="0" fontAlgn="base" hangingPunct="0">
                              <a:spcBef>
                                <a:spcPct val="0"/>
                              </a:spcBef>
                              <a:spcAft>
                                <a:spcPct val="0"/>
                              </a:spcAft>
                              <a:defRPr sz="2200" kern="1200">
                                <a:solidFill>
                                  <a:srgbClr val="990000"/>
                                </a:solidFill>
                                <a:latin typeface="FrutigerNext LT Light" pitchFamily="34" charset="0"/>
                                <a:ea typeface="Arial Unicode MS" pitchFamily="34" charset="-128"/>
                                <a:cs typeface="Arial Unicode MS" pitchFamily="34" charset="-128"/>
                              </a:defRPr>
                            </a:lvl5pPr>
                            <a:lvl6pPr marL="22860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6pPr>
                            <a:lvl7pPr marL="27432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7pPr>
                            <a:lvl8pPr marL="32004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8pPr>
                            <a:lvl9pPr marL="3657600" algn="l" defTabSz="914400" rtl="0" eaLnBrk="1" latinLnBrk="0" hangingPunct="1">
                              <a:defRPr sz="2200" kern="1200">
                                <a:solidFill>
                                  <a:srgbClr val="990000"/>
                                </a:solidFill>
                                <a:latin typeface="FrutigerNext LT Light" pitchFamily="34" charset="0"/>
                                <a:ea typeface="Arial Unicode MS" pitchFamily="34" charset="-128"/>
                                <a:cs typeface="Arial Unicode MS" pitchFamily="34" charset="-128"/>
                              </a:defRPr>
                            </a:lvl9pPr>
                          </a:lstStyle>
                          <a:p>
                            <a:pPr marL="0" marR="0" lvl="0" indent="0" defTabSz="914400" eaLnBrk="1" fontAlgn="auto" latinLnBrk="0" hangingPunct="1">
                              <a:lnSpc>
                                <a:spcPct val="100000"/>
                              </a:lnSpc>
                              <a:spcBef>
                                <a:spcPts val="0"/>
                              </a:spcBef>
                              <a:spcAft>
                                <a:spcPts val="0"/>
                              </a:spcAft>
                              <a:buClrTx/>
                              <a:buSzTx/>
                              <a:buFontTx/>
                              <a:buNone/>
                              <a:tabLst/>
                              <a:defRPr/>
                            </a:pP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Control/management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Plane and </a:t>
                            </a:r>
                            <a:r>
                              <a:rPr kumimoji="0" lang="en-US" sz="1600" b="1"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Data Plane </a:t>
                            </a:r>
                            <a:r>
                              <a:rPr kumimoji="0" lang="en-US" sz="1600" b="0" i="0" u="none" strike="noStrike" kern="0" cap="none" spc="0" normalizeH="0" baseline="0" noProof="0" dirty="0" smtClean="0">
                                <a:ln>
                                  <a:noFill/>
                                </a:ln>
                                <a:solidFill>
                                  <a:srgbClr val="000000">
                                    <a:lumMod val="95000"/>
                                    <a:lumOff val="5000"/>
                                  </a:srgbClr>
                                </a:solidFill>
                                <a:effectLst/>
                                <a:uLnTx/>
                                <a:uFillTx/>
                                <a:latin typeface="Calibri"/>
                                <a:ea typeface="+mn-ea"/>
                                <a:cs typeface="+mn-cs"/>
                              </a:rPr>
                              <a:t>Separation to scale</a:t>
                            </a:r>
                            <a:endParaRPr kumimoji="0" lang="en-US" sz="1600" b="0" i="0" u="none" strike="noStrike" kern="0" cap="none" spc="0" normalizeH="0" baseline="0" noProof="0" dirty="0">
                              <a:ln>
                                <a:noFill/>
                              </a:ln>
                              <a:solidFill>
                                <a:srgbClr val="000000">
                                  <a:lumMod val="95000"/>
                                  <a:lumOff val="5000"/>
                                </a:srgbClr>
                              </a:solidFill>
                              <a:effectLst/>
                              <a:uLnTx/>
                              <a:uFillTx/>
                              <a:latin typeface="Calibri"/>
                              <a:ea typeface="+mn-ea"/>
                              <a:cs typeface="+mn-cs"/>
                            </a:endParaRPr>
                          </a:p>
                        </a:txBody>
                        <a:useSpRect/>
                      </a:txSp>
                    </a:sp>
                  </a:grpSp>
                </lc:lockedCanvas>
              </a:graphicData>
            </a:graphic>
          </wp:inline>
        </w:drawing>
      </w:r>
    </w:p>
    <w:p w:rsidR="002F3818" w:rsidRPr="002F3818" w:rsidRDefault="002F3818" w:rsidP="002F3818">
      <w:pPr>
        <w:jc w:val="center"/>
        <w:rPr>
          <w:b/>
          <w:bCs/>
        </w:rPr>
      </w:pPr>
      <w:bookmarkStart w:id="6" w:name="_Toc276120246"/>
      <w:bookmarkStart w:id="7" w:name="_Toc295769313"/>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1</w:t>
      </w:r>
      <w:r w:rsidR="0065254A" w:rsidRPr="00780334">
        <w:rPr>
          <w:b/>
          <w:bCs/>
        </w:rPr>
        <w:fldChar w:fldCharType="end"/>
      </w:r>
      <w:r w:rsidRPr="00780334">
        <w:rPr>
          <w:b/>
          <w:bCs/>
          <w:noProof/>
          <w:lang w:val="en-US"/>
        </w:rPr>
        <w:t xml:space="preserve"> -  </w:t>
      </w:r>
      <w:bookmarkEnd w:id="6"/>
      <w:bookmarkEnd w:id="7"/>
      <w:r>
        <w:rPr>
          <w:b/>
          <w:bCs/>
          <w:noProof/>
          <w:lang w:val="en-US"/>
        </w:rPr>
        <w:t>Internal Cloud NNI</w:t>
      </w:r>
    </w:p>
    <w:p w:rsidR="008505D5" w:rsidRDefault="008505D5" w:rsidP="008505D5">
      <w:pPr>
        <w:jc w:val="both"/>
      </w:pPr>
      <w:r w:rsidRPr="00DC23D0">
        <w:t xml:space="preserve">Initial CSF objectives that are being discussed include: </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 xml:space="preserve">Cloud Service </w:t>
      </w:r>
      <w:ins w:id="8" w:author="Hu Bin 00901719" w:date="2011-06-22T12:21:00Z">
        <w:r w:rsidR="00A85888">
          <w:rPr>
            <w:rStyle w:val="plain11"/>
            <w:rFonts w:ascii="Times New Roman" w:hAnsi="Times New Roman"/>
            <w:bCs/>
            <w:color w:val="auto"/>
            <w:sz w:val="20"/>
            <w:szCs w:val="20"/>
          </w:rPr>
          <w:t>Interconnect</w:t>
        </w:r>
      </w:ins>
      <w:del w:id="9" w:author="Hu Bin 00901719" w:date="2011-06-22T12:21:00Z">
        <w:r w:rsidRPr="008505D5" w:rsidDel="00A85888">
          <w:rPr>
            <w:rStyle w:val="plain11"/>
            <w:rFonts w:ascii="Times New Roman" w:hAnsi="Times New Roman"/>
            <w:bCs/>
            <w:color w:val="auto"/>
            <w:sz w:val="20"/>
            <w:szCs w:val="20"/>
          </w:rPr>
          <w:delText>Framework</w:delText>
        </w:r>
      </w:del>
      <w:r w:rsidRPr="008505D5">
        <w:rPr>
          <w:rStyle w:val="plain11"/>
          <w:rFonts w:ascii="Times New Roman" w:hAnsi="Times New Roman"/>
          <w:bCs/>
          <w:color w:val="auto"/>
          <w:sz w:val="20"/>
          <w:szCs w:val="20"/>
        </w:rPr>
        <w:t xml:space="preserve"> for </w:t>
      </w:r>
      <w:ins w:id="10" w:author="Hu Bin 00901719" w:date="2011-06-22T12:21:00Z">
        <w:r w:rsidR="00A85888">
          <w:rPr>
            <w:rStyle w:val="plain11"/>
            <w:rFonts w:ascii="Times New Roman" w:hAnsi="Times New Roman"/>
            <w:bCs/>
            <w:color w:val="auto"/>
            <w:sz w:val="20"/>
            <w:szCs w:val="20"/>
          </w:rPr>
          <w:t>Content Distribution Networks (</w:t>
        </w:r>
      </w:ins>
      <w:r w:rsidRPr="008505D5">
        <w:rPr>
          <w:rStyle w:val="plain11"/>
          <w:rFonts w:ascii="Times New Roman" w:hAnsi="Times New Roman"/>
          <w:bCs/>
          <w:color w:val="auto"/>
          <w:sz w:val="20"/>
          <w:szCs w:val="20"/>
        </w:rPr>
        <w:t>CDN</w:t>
      </w:r>
      <w:ins w:id="11" w:author="Hu Bin 00901719" w:date="2011-06-22T12:22:00Z">
        <w:r w:rsidR="00A85888">
          <w:rPr>
            <w:rStyle w:val="plain11"/>
            <w:rFonts w:ascii="Times New Roman" w:hAnsi="Times New Roman"/>
            <w:bCs/>
            <w:color w:val="auto"/>
            <w:sz w:val="20"/>
            <w:szCs w:val="20"/>
          </w:rPr>
          <w:t>s) between providers</w:t>
        </w:r>
      </w:ins>
      <w:r w:rsidRPr="008505D5">
        <w:rPr>
          <w:rStyle w:val="plain11"/>
          <w:rFonts w:ascii="Times New Roman" w:hAnsi="Times New Roman"/>
          <w:bCs/>
          <w:color w:val="auto"/>
          <w:sz w:val="20"/>
          <w:szCs w:val="20"/>
        </w:rPr>
        <w:t>;</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Developing a framework to ensure the integration of the network and IT;</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Ascertaining basic APIs in the control plane layer of the network;</w:t>
      </w:r>
    </w:p>
    <w:p w:rsidR="008505D5" w:rsidRPr="008505D5" w:rsidRDefault="008505D5" w:rsidP="008505D5">
      <w:pPr>
        <w:pStyle w:val="ListParagraph"/>
        <w:numPr>
          <w:ilvl w:val="0"/>
          <w:numId w:val="29"/>
        </w:numPr>
        <w:jc w:val="both"/>
        <w:rPr>
          <w:rStyle w:val="plain11"/>
          <w:rFonts w:ascii="Times New Roman" w:hAnsi="Times New Roman"/>
          <w:color w:val="auto"/>
          <w:sz w:val="20"/>
          <w:szCs w:val="20"/>
        </w:rPr>
      </w:pPr>
      <w:r w:rsidRPr="008505D5">
        <w:rPr>
          <w:rStyle w:val="plain11"/>
          <w:rFonts w:ascii="Times New Roman" w:hAnsi="Times New Roman"/>
          <w:bCs/>
          <w:color w:val="auto"/>
          <w:sz w:val="20"/>
          <w:szCs w:val="20"/>
        </w:rPr>
        <w:t>Using industry input to define a minimum set of API</w:t>
      </w:r>
      <w:ins w:id="12" w:author="Hu Bin 00901719" w:date="2011-06-22T12:22:00Z">
        <w:r w:rsidR="002B405E">
          <w:rPr>
            <w:rStyle w:val="plain11"/>
            <w:rFonts w:ascii="Times New Roman" w:hAnsi="Times New Roman"/>
            <w:bCs/>
            <w:color w:val="auto"/>
            <w:sz w:val="20"/>
            <w:szCs w:val="20"/>
          </w:rPr>
          <w:t xml:space="preserve"> requirement</w:t>
        </w:r>
      </w:ins>
      <w:r w:rsidRPr="008505D5">
        <w:rPr>
          <w:rStyle w:val="plain11"/>
          <w:rFonts w:ascii="Times New Roman" w:hAnsi="Times New Roman"/>
          <w:bCs/>
          <w:color w:val="auto"/>
          <w:sz w:val="20"/>
          <w:szCs w:val="20"/>
        </w:rPr>
        <w:t>s to expose between service providers; and</w:t>
      </w:r>
    </w:p>
    <w:p w:rsidR="008505D5" w:rsidRPr="008505D5" w:rsidRDefault="008505D5" w:rsidP="008505D5">
      <w:pPr>
        <w:pStyle w:val="ListParagraph"/>
        <w:numPr>
          <w:ilvl w:val="0"/>
          <w:numId w:val="29"/>
        </w:numPr>
        <w:jc w:val="both"/>
      </w:pPr>
      <w:r w:rsidRPr="008505D5">
        <w:rPr>
          <w:rStyle w:val="plain11"/>
          <w:rFonts w:ascii="Times New Roman" w:hAnsi="Times New Roman"/>
          <w:bCs/>
          <w:color w:val="auto"/>
          <w:sz w:val="20"/>
          <w:szCs w:val="20"/>
        </w:rPr>
        <w:lastRenderedPageBreak/>
        <w:t>Utilizing control plane layer interfaces to allow for a greater network role.</w:t>
      </w:r>
    </w:p>
    <w:p w:rsidR="00590DCF" w:rsidRDefault="00590DCF" w:rsidP="00590DCF">
      <w:pPr>
        <w:rPr>
          <w:lang w:val="en-US"/>
        </w:rPr>
      </w:pPr>
      <w:r>
        <w:rPr>
          <w:lang w:val="en-US"/>
        </w:rPr>
        <w:t>CSF’s official liaisons are:</w:t>
      </w:r>
    </w:p>
    <w:p w:rsidR="00590DCF" w:rsidRDefault="00590DCF" w:rsidP="00590DCF">
      <w:pPr>
        <w:pStyle w:val="ListParagraph"/>
        <w:numPr>
          <w:ilvl w:val="0"/>
          <w:numId w:val="29"/>
        </w:numPr>
        <w:rPr>
          <w:lang w:val="en-US"/>
        </w:rPr>
      </w:pPr>
      <w:r>
        <w:rPr>
          <w:lang w:val="en-US"/>
        </w:rPr>
        <w:t>Other sister ATIS groups: IIF, PTSC, PRQC, OBF and TMOC</w:t>
      </w:r>
    </w:p>
    <w:p w:rsidR="00590DCF" w:rsidRPr="00FE0F64" w:rsidRDefault="00590DCF" w:rsidP="00590DCF">
      <w:pPr>
        <w:pStyle w:val="ListParagraph"/>
        <w:numPr>
          <w:ilvl w:val="0"/>
          <w:numId w:val="29"/>
        </w:numPr>
        <w:rPr>
          <w:lang w:val="en-US"/>
        </w:rPr>
      </w:pPr>
      <w:r>
        <w:rPr>
          <w:lang w:val="en-US"/>
        </w:rPr>
        <w:t>ITU-T, TMF, IETF</w:t>
      </w:r>
    </w:p>
    <w:p w:rsidR="00B27112" w:rsidRDefault="00447770" w:rsidP="00B27112">
      <w:pPr>
        <w:rPr>
          <w:lang w:val="en-US"/>
        </w:rPr>
      </w:pPr>
      <w:r>
        <w:rPr>
          <w:lang w:val="en-US"/>
        </w:rPr>
        <w:t>The CFS deliverables include:</w:t>
      </w:r>
    </w:p>
    <w:p w:rsidR="00447770" w:rsidRDefault="00447770" w:rsidP="00447770">
      <w:pPr>
        <w:pStyle w:val="ListParagraph"/>
        <w:numPr>
          <w:ilvl w:val="0"/>
          <w:numId w:val="29"/>
        </w:numPr>
        <w:rPr>
          <w:lang w:val="en-US"/>
        </w:rPr>
      </w:pPr>
      <w:r>
        <w:rPr>
          <w:lang w:val="en-US"/>
        </w:rPr>
        <w:t>Use Cases</w:t>
      </w:r>
    </w:p>
    <w:p w:rsidR="00447770" w:rsidRDefault="00447770" w:rsidP="00447770">
      <w:pPr>
        <w:pStyle w:val="ListParagraph"/>
        <w:numPr>
          <w:ilvl w:val="0"/>
          <w:numId w:val="29"/>
        </w:numPr>
        <w:rPr>
          <w:lang w:val="en-US"/>
        </w:rPr>
      </w:pPr>
      <w:r>
        <w:rPr>
          <w:lang w:val="en-US"/>
        </w:rPr>
        <w:t>Requirements</w:t>
      </w:r>
    </w:p>
    <w:p w:rsidR="00447770" w:rsidRDefault="00447770" w:rsidP="00447770">
      <w:pPr>
        <w:pStyle w:val="ListParagraph"/>
        <w:numPr>
          <w:ilvl w:val="0"/>
          <w:numId w:val="29"/>
        </w:numPr>
        <w:rPr>
          <w:lang w:val="en-US"/>
        </w:rPr>
      </w:pPr>
      <w:r>
        <w:rPr>
          <w:lang w:val="en-US"/>
        </w:rPr>
        <w:t>Functional Architecture</w:t>
      </w:r>
    </w:p>
    <w:p w:rsidR="00447770" w:rsidRDefault="00447770" w:rsidP="00447770">
      <w:pPr>
        <w:pStyle w:val="ListParagraph"/>
        <w:numPr>
          <w:ilvl w:val="0"/>
          <w:numId w:val="29"/>
        </w:numPr>
        <w:rPr>
          <w:lang w:val="en-US"/>
        </w:rPr>
      </w:pPr>
      <w:r>
        <w:rPr>
          <w:lang w:val="en-US"/>
        </w:rPr>
        <w:t>Messaging Capabilities / Contents</w:t>
      </w:r>
    </w:p>
    <w:p w:rsidR="00447770" w:rsidRDefault="00FE0F64" w:rsidP="00FE0F64">
      <w:pPr>
        <w:rPr>
          <w:lang w:val="en-US"/>
        </w:rPr>
      </w:pPr>
      <w:r>
        <w:rPr>
          <w:lang w:val="en-US"/>
        </w:rPr>
        <w:t>More importantly, CSF will NOT write detailed standards.</w:t>
      </w:r>
    </w:p>
    <w:p w:rsidR="00B27112" w:rsidRDefault="00590DCF" w:rsidP="00B27112">
      <w:pPr>
        <w:rPr>
          <w:lang w:val="en-US"/>
        </w:rPr>
      </w:pPr>
      <w:r>
        <w:rPr>
          <w:lang w:val="en-US"/>
        </w:rPr>
        <w:t>CSF’s current</w:t>
      </w:r>
      <w:r w:rsidR="008F5B17">
        <w:rPr>
          <w:lang w:val="en-US"/>
        </w:rPr>
        <w:t xml:space="preserve"> </w:t>
      </w:r>
      <w:r w:rsidR="00E270B6">
        <w:rPr>
          <w:lang w:val="en-US"/>
        </w:rPr>
        <w:t>plan is to work on:</w:t>
      </w:r>
    </w:p>
    <w:p w:rsidR="00E270B6" w:rsidRDefault="00E270B6" w:rsidP="00E270B6">
      <w:pPr>
        <w:pStyle w:val="ListParagraph"/>
        <w:numPr>
          <w:ilvl w:val="0"/>
          <w:numId w:val="29"/>
        </w:numPr>
        <w:rPr>
          <w:lang w:val="en-US"/>
        </w:rPr>
      </w:pPr>
      <w:r>
        <w:rPr>
          <w:lang w:val="en-US"/>
        </w:rPr>
        <w:t>Tele-presence service (voice, video, multimedia)</w:t>
      </w:r>
    </w:p>
    <w:p w:rsidR="00E270B6" w:rsidRDefault="00E270B6" w:rsidP="00E270B6">
      <w:pPr>
        <w:pStyle w:val="ListParagraph"/>
        <w:numPr>
          <w:ilvl w:val="0"/>
          <w:numId w:val="29"/>
        </w:numPr>
        <w:rPr>
          <w:lang w:val="en-US"/>
        </w:rPr>
      </w:pPr>
      <w:r>
        <w:rPr>
          <w:lang w:val="en-US"/>
        </w:rPr>
        <w:t>Virtual Private Network (VPN) service</w:t>
      </w:r>
    </w:p>
    <w:p w:rsidR="00E270B6" w:rsidRDefault="00E270B6" w:rsidP="00E270B6">
      <w:pPr>
        <w:pStyle w:val="ListParagraph"/>
        <w:numPr>
          <w:ilvl w:val="0"/>
          <w:numId w:val="29"/>
        </w:numPr>
        <w:rPr>
          <w:lang w:val="en-US"/>
        </w:rPr>
      </w:pPr>
      <w:r>
        <w:rPr>
          <w:lang w:val="en-US"/>
        </w:rPr>
        <w:t>Cloud service aspects of:</w:t>
      </w:r>
    </w:p>
    <w:p w:rsidR="00E270B6" w:rsidRDefault="00E270B6" w:rsidP="00131DDF">
      <w:pPr>
        <w:pStyle w:val="ListParagraph"/>
        <w:numPr>
          <w:ilvl w:val="1"/>
          <w:numId w:val="29"/>
        </w:numPr>
        <w:jc w:val="both"/>
        <w:rPr>
          <w:lang w:val="en-US"/>
        </w:rPr>
      </w:pPr>
      <w:r>
        <w:rPr>
          <w:lang w:val="en-US"/>
        </w:rPr>
        <w:t>Logging, Auditing, and Performance Management</w:t>
      </w:r>
    </w:p>
    <w:p w:rsidR="00E270B6" w:rsidRDefault="00E270B6" w:rsidP="00E270B6">
      <w:pPr>
        <w:pStyle w:val="ListParagraph"/>
        <w:numPr>
          <w:ilvl w:val="1"/>
          <w:numId w:val="29"/>
        </w:numPr>
        <w:rPr>
          <w:lang w:val="en-US"/>
        </w:rPr>
      </w:pPr>
      <w:r>
        <w:rPr>
          <w:lang w:val="en-US"/>
        </w:rPr>
        <w:t>Charging</w:t>
      </w:r>
    </w:p>
    <w:p w:rsidR="00E270B6" w:rsidRDefault="00E270B6" w:rsidP="00E270B6">
      <w:pPr>
        <w:pStyle w:val="ListParagraph"/>
        <w:numPr>
          <w:ilvl w:val="1"/>
          <w:numId w:val="29"/>
        </w:numPr>
        <w:rPr>
          <w:lang w:val="en-US"/>
        </w:rPr>
      </w:pPr>
      <w:r>
        <w:rPr>
          <w:lang w:val="en-US"/>
        </w:rPr>
        <w:t>On-Boarding (checklist)</w:t>
      </w:r>
    </w:p>
    <w:p w:rsidR="00E270B6" w:rsidRPr="00E270B6" w:rsidRDefault="00E270B6" w:rsidP="00E270B6">
      <w:pPr>
        <w:pStyle w:val="ListParagraph"/>
        <w:numPr>
          <w:ilvl w:val="0"/>
          <w:numId w:val="29"/>
        </w:numPr>
        <w:rPr>
          <w:lang w:val="en-US"/>
        </w:rPr>
      </w:pPr>
      <w:r>
        <w:rPr>
          <w:lang w:val="en-US"/>
        </w:rPr>
        <w:t>Virtual Desktop Infrastructure (VDI)</w:t>
      </w:r>
    </w:p>
    <w:p w:rsidR="00AF4C28" w:rsidRDefault="00AF4C28" w:rsidP="00AF4C28">
      <w:pPr>
        <w:pStyle w:val="Heading2"/>
        <w:numPr>
          <w:ilvl w:val="1"/>
          <w:numId w:val="28"/>
        </w:numPr>
      </w:pPr>
      <w:r>
        <w:t>ATIS CSF Charging</w:t>
      </w:r>
    </w:p>
    <w:p w:rsidR="00B27112" w:rsidRDefault="000821AD" w:rsidP="00131DDF">
      <w:pPr>
        <w:jc w:val="both"/>
        <w:rPr>
          <w:sz w:val="22"/>
          <w:szCs w:val="22"/>
        </w:rPr>
      </w:pPr>
      <w:r>
        <w:rPr>
          <w:lang w:val="en-US"/>
        </w:rPr>
        <w:t xml:space="preserve">ATIS CSF is defining Charging requirements </w:t>
      </w:r>
      <w:r w:rsidR="00435C90" w:rsidRPr="00C327A3">
        <w:rPr>
          <w:sz w:val="22"/>
          <w:szCs w:val="22"/>
        </w:rPr>
        <w:t xml:space="preserve">for Inter-Service </w:t>
      </w:r>
      <w:r w:rsidR="00435C90">
        <w:rPr>
          <w:sz w:val="22"/>
          <w:szCs w:val="22"/>
        </w:rPr>
        <w:t>Provider</w:t>
      </w:r>
      <w:r w:rsidR="00435C90" w:rsidRPr="00C327A3">
        <w:rPr>
          <w:sz w:val="22"/>
          <w:szCs w:val="22"/>
        </w:rPr>
        <w:t xml:space="preserve"> cooperative arrangements for providing network-related Cloud Services for the purposes of</w:t>
      </w:r>
      <w:r w:rsidR="00435C90">
        <w:rPr>
          <w:sz w:val="22"/>
          <w:szCs w:val="22"/>
        </w:rPr>
        <w:t>:</w:t>
      </w:r>
    </w:p>
    <w:p w:rsidR="00435C90" w:rsidRPr="00435C90" w:rsidRDefault="00435C90" w:rsidP="00131DDF">
      <w:pPr>
        <w:pStyle w:val="ListParagraph"/>
        <w:numPr>
          <w:ilvl w:val="0"/>
          <w:numId w:val="29"/>
        </w:numPr>
        <w:jc w:val="both"/>
        <w:rPr>
          <w:lang w:val="en-US"/>
        </w:rPr>
      </w:pPr>
      <w:r>
        <w:rPr>
          <w:sz w:val="22"/>
          <w:szCs w:val="22"/>
        </w:rPr>
        <w:t>O</w:t>
      </w:r>
      <w:r w:rsidRPr="00C327A3">
        <w:rPr>
          <w:sz w:val="22"/>
          <w:szCs w:val="22"/>
        </w:rPr>
        <w:t>ne SP billing another for service functions or resources rendered</w:t>
      </w:r>
    </w:p>
    <w:p w:rsidR="00435C90" w:rsidRPr="0010236A" w:rsidRDefault="0010236A" w:rsidP="00131DDF">
      <w:pPr>
        <w:pStyle w:val="ListParagraph"/>
        <w:numPr>
          <w:ilvl w:val="0"/>
          <w:numId w:val="29"/>
        </w:numPr>
        <w:jc w:val="both"/>
        <w:rPr>
          <w:lang w:val="en-US"/>
        </w:rPr>
      </w:pPr>
      <w:r>
        <w:rPr>
          <w:sz w:val="22"/>
          <w:szCs w:val="22"/>
          <w:lang w:val="en-US"/>
        </w:rPr>
        <w:t>T</w:t>
      </w:r>
      <w:r w:rsidRPr="00C327A3">
        <w:rPr>
          <w:sz w:val="22"/>
          <w:szCs w:val="22"/>
        </w:rPr>
        <w:t xml:space="preserve">he Primary SP charging/billing its own users, both </w:t>
      </w:r>
      <w:proofErr w:type="spellStart"/>
      <w:r w:rsidRPr="00C327A3">
        <w:rPr>
          <w:sz w:val="22"/>
          <w:szCs w:val="22"/>
        </w:rPr>
        <w:t>postpaid</w:t>
      </w:r>
      <w:proofErr w:type="spellEnd"/>
      <w:r w:rsidRPr="00C327A3">
        <w:rPr>
          <w:sz w:val="22"/>
          <w:szCs w:val="22"/>
        </w:rPr>
        <w:t xml:space="preserve"> and prepaid</w:t>
      </w:r>
    </w:p>
    <w:p w:rsidR="0010236A" w:rsidRDefault="0044463A" w:rsidP="00131DDF">
      <w:pPr>
        <w:jc w:val="both"/>
        <w:rPr>
          <w:sz w:val="22"/>
          <w:szCs w:val="22"/>
        </w:rPr>
      </w:pPr>
      <w:r>
        <w:rPr>
          <w:sz w:val="22"/>
          <w:szCs w:val="22"/>
          <w:lang w:val="en-US"/>
        </w:rPr>
        <w:t xml:space="preserve">In order to achieve the goal, ATIS CSF will </w:t>
      </w:r>
      <w:proofErr w:type="spellStart"/>
      <w:r>
        <w:rPr>
          <w:sz w:val="22"/>
          <w:szCs w:val="22"/>
          <w:lang w:val="en-US"/>
        </w:rPr>
        <w:t>i</w:t>
      </w:r>
      <w:r w:rsidRPr="0044463A">
        <w:rPr>
          <w:sz w:val="22"/>
          <w:szCs w:val="22"/>
        </w:rPr>
        <w:t>dentif</w:t>
      </w:r>
      <w:r>
        <w:rPr>
          <w:sz w:val="22"/>
          <w:szCs w:val="22"/>
        </w:rPr>
        <w:t>y</w:t>
      </w:r>
      <w:proofErr w:type="spellEnd"/>
      <w:r w:rsidRPr="0044463A">
        <w:rPr>
          <w:sz w:val="22"/>
          <w:szCs w:val="22"/>
        </w:rPr>
        <w:t xml:space="preserve"> relevant existing standards that can be used in whole or part to support the Charging requirements</w:t>
      </w:r>
      <w:r>
        <w:rPr>
          <w:sz w:val="22"/>
          <w:szCs w:val="22"/>
        </w:rPr>
        <w:t>, and identify the gaps that need to be addressed.</w:t>
      </w:r>
    </w:p>
    <w:p w:rsidR="00551051" w:rsidRDefault="00551051" w:rsidP="00131DDF">
      <w:pPr>
        <w:jc w:val="both"/>
        <w:rPr>
          <w:sz w:val="22"/>
          <w:szCs w:val="22"/>
        </w:rPr>
      </w:pPr>
      <w:r>
        <w:rPr>
          <w:sz w:val="22"/>
          <w:szCs w:val="22"/>
        </w:rPr>
        <w:t xml:space="preserve">Currently, </w:t>
      </w:r>
      <w:r w:rsidRPr="00C327A3">
        <w:rPr>
          <w:sz w:val="22"/>
          <w:szCs w:val="22"/>
        </w:rPr>
        <w:t xml:space="preserve">Inter-Service </w:t>
      </w:r>
      <w:r>
        <w:rPr>
          <w:sz w:val="22"/>
          <w:szCs w:val="22"/>
        </w:rPr>
        <w:t>Provider</w:t>
      </w:r>
      <w:r w:rsidRPr="00C327A3">
        <w:rPr>
          <w:sz w:val="22"/>
          <w:szCs w:val="22"/>
        </w:rPr>
        <w:t xml:space="preserve"> cooperative arrangements</w:t>
      </w:r>
      <w:r>
        <w:rPr>
          <w:sz w:val="22"/>
          <w:szCs w:val="22"/>
        </w:rPr>
        <w:t xml:space="preserve"> focus on</w:t>
      </w:r>
      <w:r w:rsidR="002B08D4">
        <w:rPr>
          <w:sz w:val="22"/>
          <w:szCs w:val="22"/>
        </w:rPr>
        <w:t xml:space="preserve"> </w:t>
      </w:r>
      <w:r w:rsidRPr="002B08D4">
        <w:rPr>
          <w:sz w:val="22"/>
          <w:szCs w:val="22"/>
        </w:rPr>
        <w:t>CDN (Content Distribution Networks)</w:t>
      </w:r>
      <w:r w:rsidR="002B08D4">
        <w:rPr>
          <w:sz w:val="22"/>
          <w:szCs w:val="22"/>
        </w:rPr>
        <w:t xml:space="preserve">, </w:t>
      </w:r>
      <w:r w:rsidRPr="002B08D4">
        <w:rPr>
          <w:sz w:val="22"/>
          <w:szCs w:val="22"/>
        </w:rPr>
        <w:t>Tele-presence</w:t>
      </w:r>
      <w:r w:rsidR="002B08D4">
        <w:rPr>
          <w:sz w:val="22"/>
          <w:szCs w:val="22"/>
        </w:rPr>
        <w:t xml:space="preserve"> and </w:t>
      </w:r>
      <w:r w:rsidRPr="002B08D4">
        <w:rPr>
          <w:sz w:val="22"/>
          <w:szCs w:val="22"/>
        </w:rPr>
        <w:t>VPN (Virtual Private Networks).</w:t>
      </w:r>
      <w:r w:rsidR="002B08D4">
        <w:rPr>
          <w:sz w:val="22"/>
          <w:szCs w:val="22"/>
        </w:rPr>
        <w:t xml:space="preserve"> The following Charging information will be covered:</w:t>
      </w:r>
    </w:p>
    <w:p w:rsidR="002B08D4" w:rsidRPr="00DA5838" w:rsidRDefault="00DA5838" w:rsidP="00131DDF">
      <w:pPr>
        <w:pStyle w:val="ListParagraph"/>
        <w:numPr>
          <w:ilvl w:val="0"/>
          <w:numId w:val="29"/>
        </w:numPr>
        <w:jc w:val="both"/>
        <w:rPr>
          <w:sz w:val="22"/>
          <w:szCs w:val="22"/>
        </w:rPr>
      </w:pPr>
      <w:r w:rsidRPr="00C327A3">
        <w:rPr>
          <w:szCs w:val="22"/>
        </w:rPr>
        <w:t>Conditions when everything is working normally</w:t>
      </w:r>
    </w:p>
    <w:p w:rsidR="00DA5838" w:rsidRPr="00DA5838" w:rsidRDefault="00DA5838" w:rsidP="00131DDF">
      <w:pPr>
        <w:pStyle w:val="ListParagraph"/>
        <w:numPr>
          <w:ilvl w:val="0"/>
          <w:numId w:val="29"/>
        </w:numPr>
        <w:jc w:val="both"/>
        <w:rPr>
          <w:sz w:val="22"/>
          <w:szCs w:val="22"/>
        </w:rPr>
      </w:pPr>
      <w:r w:rsidRPr="00C327A3">
        <w:rPr>
          <w:szCs w:val="22"/>
        </w:rPr>
        <w:t>Failures in the S-SP that prevent intended content delivery or storage</w:t>
      </w:r>
    </w:p>
    <w:p w:rsidR="00DA5838" w:rsidRPr="002B08D4" w:rsidRDefault="00DA5838" w:rsidP="00131DDF">
      <w:pPr>
        <w:pStyle w:val="ListParagraph"/>
        <w:numPr>
          <w:ilvl w:val="0"/>
          <w:numId w:val="29"/>
        </w:numPr>
        <w:jc w:val="both"/>
        <w:rPr>
          <w:sz w:val="22"/>
          <w:szCs w:val="22"/>
        </w:rPr>
      </w:pPr>
      <w:proofErr w:type="spellStart"/>
      <w:r w:rsidRPr="00C327A3">
        <w:rPr>
          <w:szCs w:val="22"/>
        </w:rPr>
        <w:t>QoS</w:t>
      </w:r>
      <w:proofErr w:type="spellEnd"/>
      <w:r w:rsidRPr="00C327A3">
        <w:rPr>
          <w:szCs w:val="22"/>
        </w:rPr>
        <w:t xml:space="preserve"> of content delivery that does not meet what the P-SP and S-SP agreed to as per their SLA</w:t>
      </w:r>
    </w:p>
    <w:p w:rsidR="009756C9" w:rsidRDefault="00712280" w:rsidP="00131DDF">
      <w:pPr>
        <w:jc w:val="both"/>
        <w:rPr>
          <w:lang w:val="en-US"/>
        </w:rPr>
      </w:pPr>
      <w:r>
        <w:t>A</w:t>
      </w:r>
      <w:r w:rsidRPr="00572D52">
        <w:t xml:space="preserve"> high-level framework for the charging aspect of the inter-provider service </w:t>
      </w:r>
      <w:r>
        <w:t>cooperation</w:t>
      </w:r>
      <w:r w:rsidR="00131DDF">
        <w:t xml:space="preserve"> is shown in </w:t>
      </w:r>
      <w:r w:rsidR="0065254A">
        <w:fldChar w:fldCharType="begin"/>
      </w:r>
      <w:r w:rsidR="00131DDF">
        <w:instrText xml:space="preserve"> REF _Ref296354988 \h </w:instrText>
      </w:r>
      <w:r w:rsidR="0065254A">
        <w:fldChar w:fldCharType="separate"/>
      </w:r>
      <w:r w:rsidR="000D0D34" w:rsidRPr="00780334">
        <w:rPr>
          <w:b/>
          <w:bCs/>
        </w:rPr>
        <w:t xml:space="preserve">Figure </w:t>
      </w:r>
      <w:r w:rsidR="000D0D34">
        <w:rPr>
          <w:b/>
          <w:bCs/>
          <w:noProof/>
        </w:rPr>
        <w:t>2</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Direct Peer-to-Peer Arrangement</w:t>
      </w:r>
      <w:r w:rsidR="0065254A">
        <w:fldChar w:fldCharType="end"/>
      </w:r>
      <w:r>
        <w:t>, where a direct peer-to-peer arrangement is shown. This framework is intended to be no more complicated than is necessary in order to address charging needs</w:t>
      </w:r>
      <w:r w:rsidR="0096346F">
        <w:t>.</w:t>
      </w:r>
    </w:p>
    <w:p w:rsidR="00712280" w:rsidRDefault="00712280" w:rsidP="00712280">
      <w:pPr>
        <w:jc w:val="center"/>
        <w:rPr>
          <w:lang w:val="en-US"/>
        </w:rPr>
      </w:pPr>
      <w:r>
        <w:object w:dxaOrig="7139" w:dyaOrig="5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5pt;height:309.55pt" o:ole="">
            <v:imagedata r:id="rId10" o:title=""/>
          </v:shape>
          <o:OLEObject Type="Embed" ProgID="PowerPoint.Slide.12" ShapeID="_x0000_i1025" DrawAspect="Content" ObjectID="_1370250613" r:id="rId11"/>
        </w:object>
      </w:r>
    </w:p>
    <w:p w:rsidR="00712280" w:rsidRPr="002F3818" w:rsidRDefault="00712280" w:rsidP="00712280">
      <w:pPr>
        <w:jc w:val="center"/>
        <w:rPr>
          <w:b/>
          <w:bCs/>
        </w:rPr>
      </w:pPr>
      <w:bookmarkStart w:id="13" w:name="_Ref296354988"/>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2</w:t>
      </w:r>
      <w:r w:rsidR="0065254A"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Direct Peer-to-Peer Arrangement</w:t>
      </w:r>
      <w:bookmarkEnd w:id="13"/>
    </w:p>
    <w:p w:rsidR="00C10DB9" w:rsidRDefault="00C10DB9" w:rsidP="0044463A">
      <w:r w:rsidRPr="00572D52">
        <w:t>One Service Provider, SP1, is utilizing service functionality or resources of another Service Provider, SP2</w:t>
      </w:r>
      <w:r>
        <w:t>,</w:t>
      </w:r>
      <w:r w:rsidRPr="00572D52">
        <w:t xml:space="preserve"> in order for SP1 to provide service to SP1’</w:t>
      </w:r>
      <w:r>
        <w:t>s own users. Those users</w:t>
      </w:r>
      <w:r w:rsidRPr="00572D52">
        <w:t xml:space="preserve"> may be physically connected to SP1’s </w:t>
      </w:r>
      <w:r>
        <w:t xml:space="preserve">network </w:t>
      </w:r>
      <w:r w:rsidRPr="00572D52">
        <w:t>or SP2’s network. We shall refer to such an SP1 as acting in the role of</w:t>
      </w:r>
      <w:r>
        <w:t xml:space="preserve"> the “Primary SP” (P-SP</w:t>
      </w:r>
      <w:r w:rsidRPr="00572D52">
        <w:t xml:space="preserve">) and such an SP2 as acting in the role of the </w:t>
      </w:r>
      <w:r>
        <w:t>“Supporting</w:t>
      </w:r>
      <w:r w:rsidRPr="00572D52">
        <w:t xml:space="preserve"> SP</w:t>
      </w:r>
      <w:r>
        <w:t>”</w:t>
      </w:r>
      <w:r w:rsidRPr="00572D52">
        <w:t xml:space="preserve"> (</w:t>
      </w:r>
      <w:r>
        <w:t>S-SP</w:t>
      </w:r>
      <w:r w:rsidRPr="00572D52">
        <w:t>).</w:t>
      </w:r>
      <w:r>
        <w:t xml:space="preserve"> </w:t>
      </w:r>
      <w:r w:rsidR="00EC2F85">
        <w:t>The Charging interface provides information for the purposes of:</w:t>
      </w:r>
    </w:p>
    <w:p w:rsidR="00EC2F85" w:rsidRDefault="00EC2F85" w:rsidP="00EC2F85">
      <w:pPr>
        <w:pStyle w:val="ListParagraph"/>
        <w:numPr>
          <w:ilvl w:val="0"/>
          <w:numId w:val="29"/>
        </w:numPr>
      </w:pPr>
      <w:r>
        <w:t>the S-SP</w:t>
      </w:r>
      <w:r w:rsidRPr="00572D52">
        <w:t xml:space="preserve"> being able to obtain compensation fro</w:t>
      </w:r>
      <w:r>
        <w:t>m</w:t>
      </w:r>
      <w:r w:rsidRPr="00572D52">
        <w:t xml:space="preserve"> (i.e., to bill) </w:t>
      </w:r>
      <w:r>
        <w:t>the P-SP</w:t>
      </w:r>
    </w:p>
    <w:p w:rsidR="00EC2F85" w:rsidRDefault="00EC2F85" w:rsidP="00EC2F85">
      <w:pPr>
        <w:pStyle w:val="ListParagraph"/>
        <w:numPr>
          <w:ilvl w:val="0"/>
          <w:numId w:val="29"/>
        </w:numPr>
      </w:pPr>
      <w:r>
        <w:t>the S-SP being able to provide usage information to the P-SP in sufficient detail for the P-SP’s own accounting needs with its users</w:t>
      </w:r>
    </w:p>
    <w:p w:rsidR="00EC2F85" w:rsidRDefault="00A945A9" w:rsidP="00EC2F85">
      <w:r>
        <w:t>The Charging interface is internal to the S-SP.</w:t>
      </w:r>
      <w:r w:rsidR="00473EFE">
        <w:t xml:space="preserve"> It is assumed for charging purposes that:</w:t>
      </w:r>
    </w:p>
    <w:p w:rsidR="00473EFE" w:rsidRDefault="00473EFE" w:rsidP="00473EFE">
      <w:pPr>
        <w:pStyle w:val="ListParagraph"/>
        <w:numPr>
          <w:ilvl w:val="0"/>
          <w:numId w:val="29"/>
        </w:numPr>
      </w:pPr>
      <w:r>
        <w:t xml:space="preserve">billing/charging a user for </w:t>
      </w:r>
      <w:r w:rsidRPr="00614B3C">
        <w:rPr>
          <w:i/>
        </w:rPr>
        <w:t>network access</w:t>
      </w:r>
      <w:r>
        <w:t>, whether tethered or roaming, is a separate concern from billing/charging for the cloud services and is out of scope of ATIS CSF</w:t>
      </w:r>
    </w:p>
    <w:p w:rsidR="00473EFE" w:rsidRDefault="00441653" w:rsidP="00473EFE">
      <w:pPr>
        <w:pStyle w:val="ListParagraph"/>
        <w:numPr>
          <w:ilvl w:val="0"/>
          <w:numId w:val="29"/>
        </w:numPr>
      </w:pPr>
      <w:r w:rsidRPr="00572D52">
        <w:t xml:space="preserve">the </w:t>
      </w:r>
      <w:r>
        <w:t>P-SP</w:t>
      </w:r>
      <w:r w:rsidRPr="00572D52">
        <w:t xml:space="preserve"> is exclusively responsible for billing its own users even though the </w:t>
      </w:r>
      <w:r>
        <w:t>S-SP</w:t>
      </w:r>
      <w:r w:rsidRPr="00572D52">
        <w:t xml:space="preserve"> is involved in providing service</w:t>
      </w:r>
      <w:r>
        <w:t xml:space="preserve"> (e.g., content delivery)</w:t>
      </w:r>
      <w:r w:rsidRPr="00572D52">
        <w:t xml:space="preserve"> ; </w:t>
      </w:r>
      <w:r>
        <w:t xml:space="preserve"> the S-SP</w:t>
      </w:r>
      <w:r w:rsidRPr="00572D52">
        <w:t xml:space="preserve"> and its role is not exposed to </w:t>
      </w:r>
      <w:r>
        <w:t>the P-SP</w:t>
      </w:r>
      <w:r w:rsidRPr="00572D52">
        <w:t>’s users from a charging/billing point of view</w:t>
      </w:r>
    </w:p>
    <w:p w:rsidR="00441653" w:rsidRDefault="00441653" w:rsidP="00473EFE">
      <w:pPr>
        <w:pStyle w:val="ListParagraph"/>
        <w:numPr>
          <w:ilvl w:val="0"/>
          <w:numId w:val="29"/>
        </w:numPr>
      </w:pPr>
      <w:r>
        <w:t>given that a user may be prepaid, there is a need for the S-SP to notify the P-SP in real time whether a content delivery instance has failed, so that the P-SP can refund the user’s account right away; what defines ‘failure’ is left to specific P-SP -  S-SP business agreements and policy</w:t>
      </w:r>
    </w:p>
    <w:p w:rsidR="00712280" w:rsidRDefault="00EC4E83" w:rsidP="0044463A">
      <w:pPr>
        <w:rPr>
          <w:lang w:val="en-US"/>
        </w:rPr>
      </w:pPr>
      <w:r>
        <w:t xml:space="preserve">For the sake of completeness, </w:t>
      </w:r>
      <w:r w:rsidR="0065254A">
        <w:fldChar w:fldCharType="begin"/>
      </w:r>
      <w:r w:rsidR="00316532">
        <w:instrText xml:space="preserve"> REF _Ref296355278 \h </w:instrText>
      </w:r>
      <w:r w:rsidR="0065254A">
        <w:fldChar w:fldCharType="separate"/>
      </w:r>
      <w:r w:rsidR="000D0D34" w:rsidRPr="00780334">
        <w:rPr>
          <w:b/>
          <w:bCs/>
        </w:rPr>
        <w:t xml:space="preserve">Figure </w:t>
      </w:r>
      <w:r w:rsidR="000D0D34">
        <w:rPr>
          <w:b/>
          <w:bCs/>
          <w:noProof/>
        </w:rPr>
        <w:t>3</w:t>
      </w:r>
      <w:r w:rsidR="000D0D34">
        <w:rPr>
          <w:b/>
          <w:bCs/>
          <w:noProof/>
          <w:lang w:val="en-US"/>
        </w:rPr>
        <w:t xml:space="preserve"> -</w:t>
      </w:r>
      <w:r w:rsidR="000D0D34" w:rsidRPr="00780334">
        <w:rPr>
          <w:b/>
          <w:bCs/>
          <w:noProof/>
          <w:lang w:val="en-US"/>
        </w:rPr>
        <w:t xml:space="preserve"> </w:t>
      </w:r>
      <w:r w:rsidR="000D0D34">
        <w:rPr>
          <w:b/>
        </w:rPr>
        <w:t>High Level Charging Framework:</w:t>
      </w:r>
      <w:r w:rsidR="000D0D34" w:rsidRPr="000A0067">
        <w:rPr>
          <w:b/>
        </w:rPr>
        <w:t xml:space="preserve"> </w:t>
      </w:r>
      <w:r w:rsidR="000D0D34">
        <w:rPr>
          <w:b/>
        </w:rPr>
        <w:t>Federated</w:t>
      </w:r>
      <w:r w:rsidR="000D0D34" w:rsidRPr="000A0067">
        <w:rPr>
          <w:b/>
        </w:rPr>
        <w:t xml:space="preserve"> Arrangement</w:t>
      </w:r>
      <w:r w:rsidR="0065254A">
        <w:fldChar w:fldCharType="end"/>
      </w:r>
      <w:r>
        <w:t xml:space="preserve"> shows</w:t>
      </w:r>
      <w:r w:rsidRPr="00572D52">
        <w:t xml:space="preserve"> a high-level framework for the charging aspect of the inter-provider service </w:t>
      </w:r>
      <w:r>
        <w:t>cooperation in the case of a federated arrangement.</w:t>
      </w:r>
    </w:p>
    <w:p w:rsidR="0096346F" w:rsidRDefault="0096346F" w:rsidP="0096346F">
      <w:pPr>
        <w:jc w:val="center"/>
        <w:rPr>
          <w:lang w:val="en-US"/>
        </w:rPr>
      </w:pPr>
      <w:r>
        <w:object w:dxaOrig="7163" w:dyaOrig="5382">
          <v:shape id="_x0000_i1026" type="#_x0000_t75" style="width:426.9pt;height:320.9pt" o:ole="">
            <v:imagedata r:id="rId12" o:title=""/>
          </v:shape>
          <o:OLEObject Type="Embed" ProgID="PowerPoint.Slide.12" ShapeID="_x0000_i1026" DrawAspect="Content" ObjectID="_1370250614" r:id="rId13"/>
        </w:object>
      </w:r>
    </w:p>
    <w:p w:rsidR="0096346F" w:rsidRPr="002F3818" w:rsidRDefault="0096346F" w:rsidP="0096346F">
      <w:pPr>
        <w:jc w:val="center"/>
        <w:rPr>
          <w:b/>
          <w:bCs/>
        </w:rPr>
      </w:pPr>
      <w:bookmarkStart w:id="14" w:name="_Ref296355278"/>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3</w:t>
      </w:r>
      <w:r w:rsidR="0065254A" w:rsidRPr="00780334">
        <w:rPr>
          <w:b/>
          <w:bCs/>
        </w:rPr>
        <w:fldChar w:fldCharType="end"/>
      </w:r>
      <w:r>
        <w:rPr>
          <w:b/>
          <w:bCs/>
          <w:noProof/>
          <w:lang w:val="en-US"/>
        </w:rPr>
        <w:t xml:space="preserve"> -</w:t>
      </w:r>
      <w:r w:rsidRPr="00780334">
        <w:rPr>
          <w:b/>
          <w:bCs/>
          <w:noProof/>
          <w:lang w:val="en-US"/>
        </w:rPr>
        <w:t xml:space="preserve"> </w:t>
      </w:r>
      <w:r>
        <w:rPr>
          <w:b/>
        </w:rPr>
        <w:t>High Level Charging Framework:</w:t>
      </w:r>
      <w:r w:rsidRPr="000A0067">
        <w:rPr>
          <w:b/>
        </w:rPr>
        <w:t xml:space="preserve"> </w:t>
      </w:r>
      <w:r>
        <w:rPr>
          <w:b/>
        </w:rPr>
        <w:t>Federated</w:t>
      </w:r>
      <w:r w:rsidRPr="000A0067">
        <w:rPr>
          <w:b/>
        </w:rPr>
        <w:t xml:space="preserve"> Arrangement</w:t>
      </w:r>
      <w:bookmarkEnd w:id="14"/>
    </w:p>
    <w:p w:rsidR="0096346F" w:rsidRPr="0096346F" w:rsidRDefault="0096346F" w:rsidP="0044463A"/>
    <w:p w:rsidR="00AF4C28" w:rsidRDefault="00AF4C28" w:rsidP="00AF4C28">
      <w:pPr>
        <w:pStyle w:val="Heading2"/>
        <w:numPr>
          <w:ilvl w:val="1"/>
          <w:numId w:val="28"/>
        </w:numPr>
      </w:pPr>
      <w:r>
        <w:t xml:space="preserve">ATIS CSF </w:t>
      </w:r>
      <w:proofErr w:type="spellStart"/>
      <w:r>
        <w:t>Onboarding</w:t>
      </w:r>
      <w:proofErr w:type="spellEnd"/>
      <w:r>
        <w:t xml:space="preserve"> Checklist</w:t>
      </w:r>
    </w:p>
    <w:p w:rsidR="00AF4C28" w:rsidRDefault="005F25DD" w:rsidP="005F25DD">
      <w:pPr>
        <w:jc w:val="both"/>
      </w:pPr>
      <w:r w:rsidRPr="005F25DD">
        <w:t>With e</w:t>
      </w:r>
      <w:r>
        <w:t>mergence of Cloud Services, which</w:t>
      </w:r>
      <w:r w:rsidRPr="005F25DD">
        <w:t xml:space="preserve"> could span across one or many cloud infrastructures managed by various providers, it is imperative that checklist be developed that w</w:t>
      </w:r>
      <w:r>
        <w:t xml:space="preserve">ill provide </w:t>
      </w:r>
      <w:proofErr w:type="spellStart"/>
      <w:r>
        <w:t>onboarding</w:t>
      </w:r>
      <w:proofErr w:type="spellEnd"/>
      <w:r>
        <w:t xml:space="preserve"> guidance and </w:t>
      </w:r>
      <w:r w:rsidRPr="005F25DD">
        <w:t>req</w:t>
      </w:r>
      <w:r>
        <w:t xml:space="preserve">uirements for service providers and </w:t>
      </w:r>
      <w:r w:rsidRPr="005F25DD">
        <w:t>developers</w:t>
      </w:r>
      <w:r>
        <w:t>.</w:t>
      </w:r>
      <w:r w:rsidR="00A601F5">
        <w:t xml:space="preserve"> </w:t>
      </w:r>
      <w:r w:rsidR="00A601F5" w:rsidRPr="00A601F5">
        <w:t>The checklist is to be developed with the purpose to facilitate the following two functions from a cloud provider</w:t>
      </w:r>
      <w:r w:rsidR="00A601F5">
        <w:t>:</w:t>
      </w:r>
    </w:p>
    <w:p w:rsidR="00A601F5" w:rsidRDefault="00A601F5" w:rsidP="00A601F5">
      <w:pPr>
        <w:pStyle w:val="ListParagraph"/>
        <w:numPr>
          <w:ilvl w:val="0"/>
          <w:numId w:val="29"/>
        </w:numPr>
        <w:jc w:val="both"/>
        <w:rPr>
          <w:lang w:val="en-US"/>
        </w:rPr>
      </w:pPr>
      <w:r>
        <w:rPr>
          <w:lang w:val="en-US"/>
        </w:rPr>
        <w:t>ACCEPTANCE of services onto the Cloud platform and infrastructure</w:t>
      </w:r>
    </w:p>
    <w:p w:rsidR="00A601F5" w:rsidRDefault="00A601F5" w:rsidP="00A601F5">
      <w:pPr>
        <w:pStyle w:val="ListParagraph"/>
        <w:numPr>
          <w:ilvl w:val="0"/>
          <w:numId w:val="29"/>
        </w:numPr>
        <w:jc w:val="both"/>
        <w:rPr>
          <w:lang w:val="en-US"/>
        </w:rPr>
      </w:pPr>
      <w:r>
        <w:rPr>
          <w:lang w:val="en-US"/>
        </w:rPr>
        <w:t>Ongoing AUDIT of services on the Cloud platform and infrastructure</w:t>
      </w:r>
    </w:p>
    <w:p w:rsidR="00A601F5" w:rsidRDefault="00225EA5" w:rsidP="00A601F5">
      <w:pPr>
        <w:jc w:val="both"/>
      </w:pPr>
      <w:r w:rsidRPr="00225EA5">
        <w:t xml:space="preserve">Checklist will be comprise of following vectors, each one of which will have relevant </w:t>
      </w:r>
      <w:proofErr w:type="spellStart"/>
      <w:r w:rsidRPr="00225EA5">
        <w:t>onboarding</w:t>
      </w:r>
      <w:proofErr w:type="spellEnd"/>
      <w:r w:rsidRPr="00225EA5">
        <w:t xml:space="preserve"> checklist that will facilitate the ACCEPTANCE/AUDIT purpose listed above. Each vector will then provide direction/course for services to be on-boarded onto the cloud infrastructure as well as ensure ongoing operations</w:t>
      </w:r>
      <w:r>
        <w:t>:</w:t>
      </w:r>
    </w:p>
    <w:p w:rsidR="004D1B8B" w:rsidRDefault="004D1B8B" w:rsidP="004D1B8B">
      <w:pPr>
        <w:pStyle w:val="ListParagraph"/>
        <w:numPr>
          <w:ilvl w:val="0"/>
          <w:numId w:val="29"/>
        </w:numPr>
        <w:jc w:val="both"/>
      </w:pPr>
      <w:r>
        <w:t xml:space="preserve">Connectivity Vector: </w:t>
      </w:r>
      <w:r w:rsidRPr="005D660C">
        <w:t>This will primarily focus on NNI between Cloud infrastructure as well as ACCEPTANCE/AUDIT checkpoints required for connectivity between services</w:t>
      </w:r>
    </w:p>
    <w:p w:rsidR="004D1B8B" w:rsidRDefault="004D1B8B" w:rsidP="004D1B8B">
      <w:pPr>
        <w:pStyle w:val="ListParagraph"/>
        <w:numPr>
          <w:ilvl w:val="0"/>
          <w:numId w:val="29"/>
        </w:numPr>
        <w:jc w:val="both"/>
      </w:pPr>
      <w:r>
        <w:t xml:space="preserve">Compliance Vector: </w:t>
      </w:r>
      <w:r w:rsidRPr="005D660C">
        <w:t xml:space="preserve">This will focus on Compliance of the services to requirements required for initial </w:t>
      </w:r>
      <w:proofErr w:type="spellStart"/>
      <w:r w:rsidRPr="005D660C">
        <w:t>onboarding</w:t>
      </w:r>
      <w:proofErr w:type="spellEnd"/>
      <w:r w:rsidRPr="005D660C">
        <w:t xml:space="preserve"> (ACCEPTANCE) as well for ongoing operations</w:t>
      </w:r>
    </w:p>
    <w:p w:rsidR="004D1B8B" w:rsidRDefault="004D1B8B" w:rsidP="004D1B8B">
      <w:pPr>
        <w:pStyle w:val="ListParagraph"/>
        <w:numPr>
          <w:ilvl w:val="0"/>
          <w:numId w:val="29"/>
        </w:numPr>
        <w:jc w:val="both"/>
      </w:pPr>
      <w:r>
        <w:t xml:space="preserve">Compatibility Vector: </w:t>
      </w:r>
      <w:r w:rsidRPr="00984014">
        <w:t>This will focus on reducing the integration required for a service provider to onboard a new cloud service</w:t>
      </w:r>
    </w:p>
    <w:p w:rsidR="004D1B8B" w:rsidRDefault="004D1B8B" w:rsidP="004D1B8B">
      <w:pPr>
        <w:pStyle w:val="ListParagraph"/>
        <w:numPr>
          <w:ilvl w:val="0"/>
          <w:numId w:val="29"/>
        </w:numPr>
        <w:jc w:val="both"/>
      </w:pPr>
      <w:r>
        <w:t xml:space="preserve">Contractual Vector: </w:t>
      </w:r>
      <w:r w:rsidRPr="00984014">
        <w:t>This will focus on reducing contract time required to procure new cloud services.  Standard licensing templates may be considered</w:t>
      </w:r>
    </w:p>
    <w:p w:rsidR="004D1B8B" w:rsidRPr="000821AD" w:rsidRDefault="004D1B8B" w:rsidP="004D1B8B">
      <w:pPr>
        <w:pStyle w:val="ListParagraph"/>
        <w:numPr>
          <w:ilvl w:val="0"/>
          <w:numId w:val="29"/>
        </w:numPr>
        <w:jc w:val="both"/>
      </w:pPr>
      <w:r>
        <w:t xml:space="preserve">Conformance Vector: </w:t>
      </w:r>
      <w:r w:rsidRPr="00984014">
        <w:t>This will focus on the technical adherence of a cloud service to a specific standard.  It may also endorse one standard over another if multiple comparable solutions exist</w:t>
      </w:r>
    </w:p>
    <w:p w:rsidR="00225EA5" w:rsidRDefault="00225EA5" w:rsidP="00225EA5">
      <w:pPr>
        <w:jc w:val="center"/>
      </w:pPr>
      <w:r w:rsidRPr="00225EA5">
        <w:rPr>
          <w:noProof/>
          <w:lang w:val="en-US" w:eastAsia="zh-CN"/>
        </w:rPr>
        <w:lastRenderedPageBreak/>
        <w:drawing>
          <wp:inline distT="0" distB="0" distL="0" distR="0">
            <wp:extent cx="5486400" cy="1925955"/>
            <wp:effectExtent l="0" t="0" r="0" b="0"/>
            <wp:docPr id="2"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34177" cy="2960132"/>
                      <a:chOff x="304800" y="3733800"/>
                      <a:chExt cx="8434177" cy="2960132"/>
                    </a:xfrm>
                  </a:grpSpPr>
                  <a:sp>
                    <a:nvSpPr>
                      <a:cNvPr id="10" name="Oval 9"/>
                      <a:cNvSpPr/>
                    </a:nvSpPr>
                    <a:spPr>
                      <a:xfrm>
                        <a:off x="3771900" y="4724400"/>
                        <a:ext cx="1600200" cy="1066800"/>
                      </a:xfrm>
                      <a:prstGeom prst="ellipse">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400" dirty="0" smtClean="0"/>
                            <a:t>Cloud Onboarding</a:t>
                          </a:r>
                        </a:p>
                        <a:p>
                          <a:pPr algn="ctr"/>
                          <a:r>
                            <a:rPr lang="en-US" sz="1400" dirty="0" smtClean="0"/>
                            <a:t>Checklist</a:t>
                          </a:r>
                          <a:endParaRPr lang="en-US" sz="1400" dirty="0"/>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Straight Arrow Connector 11"/>
                      <a:cNvCxnSpPr>
                        <a:stCxn id="10" idx="7"/>
                      </a:cNvCxnSpPr>
                    </a:nvCxnSpPr>
                    <a:spPr>
                      <a:xfrm rot="5400000" flipH="1" flipV="1">
                        <a:off x="5462564" y="3637593"/>
                        <a:ext cx="918229" cy="15678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6705600" y="3733800"/>
                        <a:ext cx="203337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Connectivity vector</a:t>
                          </a:r>
                          <a:endParaRPr lang="en-US" b="1" dirty="0"/>
                        </a:p>
                      </a:txBody>
                      <a:useSpRect/>
                    </a:txSp>
                  </a:sp>
                  <a:cxnSp>
                    <a:nvCxnSpPr>
                      <a:cNvPr id="15" name="Straight Arrow Connector 14"/>
                      <a:cNvCxnSpPr>
                        <a:stCxn id="10" idx="6"/>
                      </a:cNvCxnSpPr>
                    </a:nvCxnSpPr>
                    <a:spPr>
                      <a:xfrm>
                        <a:off x="5372100" y="5257800"/>
                        <a:ext cx="12573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6" name="TextBox 15"/>
                      <a:cNvSpPr txBox="1"/>
                    </a:nvSpPr>
                    <a:spPr>
                      <a:xfrm>
                        <a:off x="6705600" y="5029200"/>
                        <a:ext cx="195643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Compliance vector</a:t>
                          </a:r>
                          <a:endParaRPr lang="en-US" b="1" dirty="0"/>
                        </a:p>
                      </a:txBody>
                      <a:useSpRect/>
                    </a:txSp>
                  </a:sp>
                  <a:cxnSp>
                    <a:nvCxnSpPr>
                      <a:cNvPr id="18" name="Straight Arrow Connector 17"/>
                      <a:cNvCxnSpPr>
                        <a:stCxn id="10" idx="1"/>
                      </a:cNvCxnSpPr>
                    </a:nvCxnSpPr>
                    <a:spPr>
                      <a:xfrm rot="16200000" flipV="1">
                        <a:off x="2915608" y="3789993"/>
                        <a:ext cx="842029" cy="1339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19" name="TextBox 18"/>
                      <a:cNvSpPr txBox="1"/>
                    </a:nvSpPr>
                    <a:spPr>
                      <a:xfrm>
                        <a:off x="609600" y="3810000"/>
                        <a:ext cx="212423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Compatibility vector</a:t>
                          </a:r>
                          <a:endParaRPr lang="en-US" b="1" dirty="0"/>
                        </a:p>
                      </a:txBody>
                      <a:useSpRect/>
                    </a:txSp>
                  </a:sp>
                  <a:cxnSp>
                    <a:nvCxnSpPr>
                      <a:cNvPr id="21" name="Straight Arrow Connector 20"/>
                      <a:cNvCxnSpPr>
                        <a:stCxn id="10" idx="2"/>
                      </a:cNvCxnSpPr>
                    </a:nvCxnSpPr>
                    <a:spPr>
                      <a:xfrm rot="10800000">
                        <a:off x="2438400" y="5257800"/>
                        <a:ext cx="13335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2" name="TextBox 21"/>
                      <a:cNvSpPr txBox="1"/>
                    </a:nvSpPr>
                    <a:spPr>
                      <a:xfrm>
                        <a:off x="304800" y="5105400"/>
                        <a:ext cx="1946046"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Contractual vector</a:t>
                          </a:r>
                          <a:endParaRPr lang="en-US" b="1" dirty="0"/>
                        </a:p>
                      </a:txBody>
                      <a:useSpRect/>
                    </a:txSp>
                  </a:sp>
                  <a:cxnSp>
                    <a:nvCxnSpPr>
                      <a:cNvPr id="24" name="Straight Arrow Connector 23"/>
                      <a:cNvCxnSpPr>
                        <a:stCxn id="10" idx="0"/>
                      </a:cNvCxnSpPr>
                    </a:nvCxnSpPr>
                    <a:spPr>
                      <a:xfrm rot="5400000" flipH="1" flipV="1">
                        <a:off x="4305300" y="4457700"/>
                        <a:ext cx="533400" cy="158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3555311" y="3810000"/>
                        <a:ext cx="217136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Conformance  vector</a:t>
                          </a:r>
                          <a:endParaRPr lang="en-US" b="1" dirty="0"/>
                        </a:p>
                      </a:txBody>
                      <a:useSpRect/>
                    </a:txSp>
                  </a:sp>
                  <a:cxnSp>
                    <a:nvCxnSpPr>
                      <a:cNvPr id="27" name="Straight Arrow Connector 26"/>
                      <a:cNvCxnSpPr>
                        <a:stCxn id="10" idx="3"/>
                      </a:cNvCxnSpPr>
                    </a:nvCxnSpPr>
                    <a:spPr>
                      <a:xfrm rot="5400000">
                        <a:off x="3220408" y="5462563"/>
                        <a:ext cx="6134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29" name="Straight Arrow Connector 28"/>
                      <a:cNvCxnSpPr>
                        <a:stCxn id="10" idx="5"/>
                      </a:cNvCxnSpPr>
                    </a:nvCxnSpPr>
                    <a:spPr>
                      <a:xfrm rot="16200000" flipH="1">
                        <a:off x="5233964" y="5538763"/>
                        <a:ext cx="765829" cy="95824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0" name="TextBox 29"/>
                      <a:cNvSpPr txBox="1"/>
                    </a:nvSpPr>
                    <a:spPr>
                      <a:xfrm>
                        <a:off x="6324600" y="61722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a:sp>
                    <a:nvSpPr>
                      <a:cNvPr id="31" name="TextBox 30"/>
                      <a:cNvSpPr txBox="1"/>
                    </a:nvSpPr>
                    <a:spPr>
                      <a:xfrm>
                        <a:off x="2057400" y="6324600"/>
                        <a:ext cx="1246175"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b="1" dirty="0" smtClean="0"/>
                            <a:t>TBD Vector</a:t>
                          </a:r>
                          <a:endParaRPr lang="en-US" b="1" dirty="0"/>
                        </a:p>
                      </a:txBody>
                      <a:useSpRect/>
                    </a:txSp>
                  </a:sp>
                </lc:lockedCanvas>
              </a:graphicData>
            </a:graphic>
          </wp:inline>
        </w:drawing>
      </w:r>
    </w:p>
    <w:p w:rsidR="00225EA5" w:rsidRPr="002F3818" w:rsidRDefault="00225EA5" w:rsidP="00225EA5">
      <w:pPr>
        <w:jc w:val="center"/>
        <w:rPr>
          <w:b/>
          <w:bCs/>
        </w:rPr>
      </w:pPr>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4</w:t>
      </w:r>
      <w:r w:rsidR="0065254A" w:rsidRPr="00780334">
        <w:rPr>
          <w:b/>
          <w:bCs/>
        </w:rPr>
        <w:fldChar w:fldCharType="end"/>
      </w:r>
      <w:r w:rsidRPr="00780334">
        <w:rPr>
          <w:b/>
          <w:bCs/>
          <w:noProof/>
          <w:lang w:val="en-US"/>
        </w:rPr>
        <w:t xml:space="preserve"> - </w:t>
      </w:r>
      <w:r>
        <w:rPr>
          <w:b/>
          <w:bCs/>
          <w:noProof/>
          <w:lang w:val="en-US"/>
        </w:rPr>
        <w:t>Checklist Vectors</w:t>
      </w:r>
    </w:p>
    <w:p w:rsidR="004C09AE" w:rsidRDefault="004C09AE" w:rsidP="004C09AE">
      <w:pPr>
        <w:pStyle w:val="Heading2"/>
        <w:numPr>
          <w:ilvl w:val="1"/>
          <w:numId w:val="28"/>
        </w:numPr>
      </w:pPr>
      <w:r>
        <w:t>ATIS CSF Virtual Desktop Infrastructure (VDI)</w:t>
      </w:r>
    </w:p>
    <w:p w:rsidR="004C09AE" w:rsidRDefault="00E06737" w:rsidP="004C09AE">
      <w:pPr>
        <w:jc w:val="both"/>
        <w:rPr>
          <w:rFonts w:cs="Book Antiqua"/>
        </w:rPr>
      </w:pPr>
      <w:r w:rsidRPr="00892E91">
        <w:t>VDI (Virtual Desktop Infrastructure, also known as Virtual Desktop Interface) is the server computing model enabling desktop virtualization</w:t>
      </w:r>
      <w:r w:rsidR="00322FE2" w:rsidRPr="00892E91">
        <w:t>, encompassing the hardware and software systems required to support the virtualized environment.</w:t>
      </w:r>
      <w:r w:rsidR="00892E91" w:rsidRPr="00892E91">
        <w:t xml:space="preserve"> ATIS CSF’s VDI intends to </w:t>
      </w:r>
      <w:r w:rsidR="00892E91" w:rsidRPr="00892E91">
        <w:rPr>
          <w:rFonts w:cs="Book Antiqua"/>
        </w:rPr>
        <w:t>develop a high-level architecture</w:t>
      </w:r>
      <w:r w:rsidR="00892E91">
        <w:rPr>
          <w:rFonts w:cs="Book Antiqua"/>
        </w:rPr>
        <w:t xml:space="preserve"> and </w:t>
      </w:r>
      <w:r w:rsidR="00892E91" w:rsidRPr="00892E91">
        <w:rPr>
          <w:rFonts w:cs="Book Antiqua"/>
        </w:rPr>
        <w:t>a set of basic requirements</w:t>
      </w:r>
      <w:r w:rsidR="00892E91">
        <w:rPr>
          <w:rFonts w:cs="Book Antiqua"/>
        </w:rPr>
        <w:t xml:space="preserve"> of</w:t>
      </w:r>
      <w:r w:rsidR="00892E91" w:rsidRPr="00892E91">
        <w:rPr>
          <w:rFonts w:cs="Book Antiqua"/>
        </w:rPr>
        <w:t xml:space="preserve"> </w:t>
      </w:r>
      <w:r w:rsidR="00892E91">
        <w:rPr>
          <w:rFonts w:cs="Book Antiqua"/>
        </w:rPr>
        <w:t>VDI</w:t>
      </w:r>
      <w:r w:rsidR="00045830">
        <w:rPr>
          <w:rFonts w:cs="Book Antiqua"/>
        </w:rPr>
        <w:t xml:space="preserve"> services</w:t>
      </w:r>
      <w:r w:rsidR="007D064E">
        <w:rPr>
          <w:rFonts w:cs="Book Antiqua"/>
        </w:rPr>
        <w:t xml:space="preserve"> in both enterprise and consumer domain, </w:t>
      </w:r>
      <w:r w:rsidR="00045830">
        <w:rPr>
          <w:rFonts w:cs="Book Antiqua"/>
        </w:rPr>
        <w:t xml:space="preserve">including audio, video, and other plug-in </w:t>
      </w:r>
      <w:r w:rsidR="00045830" w:rsidRPr="00861BDA">
        <w:rPr>
          <w:rFonts w:cs="Book Antiqua"/>
        </w:rPr>
        <w:t>services.</w:t>
      </w:r>
      <w:r w:rsidR="00861BDA" w:rsidRPr="00861BDA">
        <w:rPr>
          <w:rFonts w:cs="Book Antiqua"/>
        </w:rPr>
        <w:t xml:space="preserve"> It is expected that uniform implementation of VD will not only make add/move</w:t>
      </w:r>
      <w:r w:rsidR="00861BDA">
        <w:rPr>
          <w:rFonts w:cs="Book Antiqua"/>
        </w:rPr>
        <w:t>/change/update seamless, but</w:t>
      </w:r>
      <w:r w:rsidR="00861BDA" w:rsidRPr="00861BDA">
        <w:rPr>
          <w:rFonts w:cs="Book Antiqua"/>
        </w:rPr>
        <w:t xml:space="preserve"> also make switching of services/prof</w:t>
      </w:r>
      <w:r w:rsidR="00007CDD">
        <w:rPr>
          <w:rFonts w:cs="Book Antiqua"/>
        </w:rPr>
        <w:t>iles among devices as easy</w:t>
      </w:r>
      <w:r w:rsidR="00861BDA" w:rsidRPr="00861BDA">
        <w:rPr>
          <w:rFonts w:cs="Book Antiqua"/>
        </w:rPr>
        <w:t xml:space="preserve"> as possible.</w:t>
      </w:r>
    </w:p>
    <w:p w:rsidR="00E526EC" w:rsidRPr="00E526EC" w:rsidRDefault="00E526EC" w:rsidP="00E526EC">
      <w:pPr>
        <w:pStyle w:val="ListParagraph"/>
        <w:numPr>
          <w:ilvl w:val="2"/>
          <w:numId w:val="28"/>
        </w:numPr>
        <w:jc w:val="both"/>
        <w:rPr>
          <w:rFonts w:ascii="Arial" w:hAnsi="Arial" w:cs="Arial"/>
          <w:sz w:val="28"/>
          <w:szCs w:val="28"/>
        </w:rPr>
      </w:pPr>
      <w:r w:rsidRPr="00E526EC">
        <w:rPr>
          <w:rFonts w:ascii="Arial" w:hAnsi="Arial" w:cs="Arial"/>
          <w:sz w:val="28"/>
          <w:szCs w:val="28"/>
        </w:rPr>
        <w:t>VDI in Enterprise</w:t>
      </w:r>
      <w:r>
        <w:rPr>
          <w:rFonts w:ascii="Arial" w:hAnsi="Arial" w:cs="Arial"/>
          <w:sz w:val="28"/>
          <w:szCs w:val="28"/>
        </w:rPr>
        <w:t xml:space="preserve"> Domain</w:t>
      </w:r>
    </w:p>
    <w:p w:rsidR="004D2D2C" w:rsidRPr="00861BDA" w:rsidRDefault="004D2D2C" w:rsidP="004C09AE">
      <w:pPr>
        <w:jc w:val="both"/>
      </w:pPr>
      <w:r>
        <w:rPr>
          <w:rFonts w:cs="Book Antiqua"/>
        </w:rPr>
        <w:t xml:space="preserve">The VDI use case in enterprise domain is shown in </w:t>
      </w:r>
      <w:r w:rsidR="0065254A">
        <w:rPr>
          <w:rFonts w:cs="Book Antiqua"/>
        </w:rPr>
        <w:fldChar w:fldCharType="begin"/>
      </w:r>
      <w:r w:rsidR="0053412B">
        <w:rPr>
          <w:rFonts w:cs="Book Antiqua"/>
        </w:rPr>
        <w:instrText xml:space="preserve"> REF _Ref296374312 \h </w:instrText>
      </w:r>
      <w:r w:rsidR="0065254A">
        <w:rPr>
          <w:rFonts w:cs="Book Antiqua"/>
        </w:rPr>
      </w:r>
      <w:r w:rsidR="0065254A">
        <w:rPr>
          <w:rFonts w:cs="Book Antiqua"/>
        </w:rPr>
        <w:fldChar w:fldCharType="separate"/>
      </w:r>
      <w:r w:rsidR="000D0D34" w:rsidRPr="00780334">
        <w:rPr>
          <w:b/>
          <w:bCs/>
        </w:rPr>
        <w:t xml:space="preserve">Figure </w:t>
      </w:r>
      <w:r w:rsidR="000D0D34">
        <w:rPr>
          <w:b/>
          <w:bCs/>
          <w:noProof/>
        </w:rPr>
        <w:t>5</w:t>
      </w:r>
      <w:r w:rsidR="000D0D34" w:rsidRPr="00780334">
        <w:rPr>
          <w:b/>
          <w:bCs/>
          <w:noProof/>
          <w:lang w:val="en-US"/>
        </w:rPr>
        <w:t xml:space="preserve"> - </w:t>
      </w:r>
      <w:r w:rsidR="000D0D34">
        <w:rPr>
          <w:b/>
          <w:bCs/>
          <w:noProof/>
          <w:lang w:val="en-US"/>
        </w:rPr>
        <w:t>Virtual Desktop Service in Enterprise Domain</w:t>
      </w:r>
      <w:r w:rsidR="0065254A">
        <w:rPr>
          <w:rFonts w:cs="Book Antiqua"/>
        </w:rPr>
        <w:fldChar w:fldCharType="end"/>
      </w:r>
      <w:r w:rsidR="0053412B">
        <w:rPr>
          <w:rFonts w:cs="Book Antiqua"/>
        </w:rPr>
        <w:t>.</w:t>
      </w:r>
    </w:p>
    <w:p w:rsidR="009E4E8F" w:rsidRDefault="009E4E8F" w:rsidP="009E4E8F">
      <w:pPr>
        <w:jc w:val="center"/>
      </w:pPr>
      <w:r>
        <w:rPr>
          <w:noProof/>
          <w:lang w:val="en-US" w:eastAsia="zh-CN"/>
        </w:rPr>
        <w:drawing>
          <wp:inline distT="0" distB="0" distL="0" distR="0">
            <wp:extent cx="5947410" cy="1741170"/>
            <wp:effectExtent l="0" t="0" r="0" b="0"/>
            <wp:docPr id="5" name="Object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54303" cy="2362200"/>
                      <a:chOff x="533400" y="1981200"/>
                      <a:chExt cx="8054303" cy="2362200"/>
                    </a:xfrm>
                  </a:grpSpPr>
                  <a:sp>
                    <a:nvSpPr>
                      <a:cNvPr id="36" name="Rounded Rectangle 35"/>
                      <a:cNvSpPr/>
                    </a:nvSpPr>
                    <a:spPr>
                      <a:xfrm>
                        <a:off x="2133600" y="19812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9"/>
                      <a:cNvGrpSpPr/>
                    </a:nvGrpSpPr>
                    <a:grpSpPr>
                      <a:xfrm>
                        <a:off x="2590800" y="22860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0"/>
                      <a:cNvGrpSpPr/>
                    </a:nvGrpSpPr>
                    <a:grpSpPr>
                      <a:xfrm>
                        <a:off x="2743200" y="24384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4"/>
                      <a:cNvGrpSpPr/>
                    </a:nvGrpSpPr>
                    <a:grpSpPr>
                      <a:xfrm>
                        <a:off x="2895600" y="25908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1010717" y="24363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1010717" y="30480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1086917" y="34290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743200" y="3886200"/>
                        <a:ext cx="1330814"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533400" y="20574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533400" y="28956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685800" y="35814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5" cstate="print"/>
                      <a:srcRect/>
                      <a:stretch>
                        <a:fillRect/>
                      </a:stretch>
                    </a:blipFill>
                    <a:spPr bwMode="auto">
                      <a:xfrm>
                        <a:off x="7543800" y="2362200"/>
                        <a:ext cx="561975" cy="560387"/>
                      </a:xfrm>
                      <a:prstGeom prst="rect">
                        <a:avLst/>
                      </a:prstGeom>
                      <a:noFill/>
                      <a:ln w="9525">
                        <a:noFill/>
                        <a:miter lim="800000"/>
                        <a:headEnd/>
                        <a:tailEnd/>
                      </a:ln>
                    </a:spPr>
                  </a:pic>
                  <a:sp>
                    <a:nvSpPr>
                      <a:cNvPr id="35" name="Text Box 88"/>
                      <a:cNvSpPr txBox="1">
                        <a:spLocks noChangeArrowheads="1"/>
                      </a:cNvSpPr>
                    </a:nvSpPr>
                    <a:spPr bwMode="auto">
                      <a:xfrm>
                        <a:off x="7467600" y="28956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eaLnBrk="1" hangingPunct="1">
                            <a:lnSpc>
                              <a:spcPct val="100000"/>
                            </a:lnSpc>
                            <a:spcAft>
                              <a:spcPct val="0"/>
                            </a:spcAft>
                            <a:buClrTx/>
                            <a:buFontTx/>
                            <a:buNone/>
                            <a:defRPr/>
                          </a:pPr>
                          <a:r>
                            <a:rPr lang="en-US" sz="1200" b="1" dirty="0" smtClean="0">
                              <a:cs typeface="Arial" pitchFamily="34" charset="0"/>
                            </a:rPr>
                            <a:t>Enterprise</a:t>
                          </a:r>
                        </a:p>
                        <a:p>
                          <a:pPr algn="ctr"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6" cstate="print"/>
                      <a:srcRect/>
                      <a:stretch>
                        <a:fillRect/>
                      </a:stretch>
                    </a:blipFill>
                    <a:spPr bwMode="auto">
                      <a:xfrm>
                        <a:off x="4191000" y="2895600"/>
                        <a:ext cx="266700" cy="266700"/>
                      </a:xfrm>
                      <a:prstGeom prst="rect">
                        <a:avLst/>
                      </a:prstGeom>
                      <a:noFill/>
                      <a:ln w="9525">
                        <a:noFill/>
                        <a:miter lim="800000"/>
                        <a:headEnd/>
                        <a:tailEnd/>
                      </a:ln>
                    </a:spPr>
                  </a:pic>
                  <a:cxnSp>
                    <a:nvCxnSpPr>
                      <a:cNvPr id="39" name="Straight Connector 38"/>
                      <a:cNvCxnSpPr>
                        <a:stCxn id="16" idx="3"/>
                        <a:endCxn id="37" idx="1"/>
                      </a:cNvCxnSpPr>
                    </a:nvCxnSpPr>
                    <a:spPr>
                      <a:xfrm flipV="1">
                        <a:off x="3886200" y="30289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886200" y="28194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4191000" y="31242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953000" y="2438400"/>
                        <a:ext cx="2057400" cy="12954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TextBox 45"/>
                      <a:cNvSpPr txBox="1"/>
                    </a:nvSpPr>
                    <a:spPr>
                      <a:xfrm>
                        <a:off x="5638800" y="2895600"/>
                        <a:ext cx="696024" cy="43088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endParaRPr lang="en-US" sz="1100" b="1" dirty="0" smtClean="0"/>
                        </a:p>
                        <a:p>
                          <a:r>
                            <a:rPr lang="en-US" sz="1100" b="1" dirty="0" smtClean="0"/>
                            <a:t>Network</a:t>
                          </a:r>
                          <a:endParaRPr lang="en-US" sz="1100" b="1" dirty="0"/>
                        </a:p>
                      </a:txBody>
                      <a:useSpRect/>
                    </a:txSp>
                  </a:sp>
                  <a:cxnSp>
                    <a:nvCxnSpPr>
                      <a:cNvPr id="48" name="Straight Connector 47"/>
                      <a:cNvCxnSpPr>
                        <a:stCxn id="37" idx="3"/>
                        <a:endCxn id="45" idx="2"/>
                      </a:cNvCxnSpPr>
                    </a:nvCxnSpPr>
                    <a:spPr>
                      <a:xfrm>
                        <a:off x="4457700" y="3028950"/>
                        <a:ext cx="501682" cy="57150"/>
                      </a:xfrm>
                      <a:prstGeom prst="line">
                        <a:avLst/>
                      </a:prstGeom>
                    </a:spPr>
                    <a:style>
                      <a:lnRef idx="1">
                        <a:schemeClr val="accent1"/>
                      </a:lnRef>
                      <a:fillRef idx="0">
                        <a:schemeClr val="accent1"/>
                      </a:fillRef>
                      <a:effectRef idx="0">
                        <a:schemeClr val="accent1"/>
                      </a:effectRef>
                      <a:fontRef idx="minor">
                        <a:schemeClr val="tx1"/>
                      </a:fontRef>
                    </a:style>
                  </a:cxnSp>
                  <a:cxnSp>
                    <a:nvCxnSpPr>
                      <a:cNvPr id="51" name="Straight Connector 50"/>
                      <a:cNvCxnSpPr>
                        <a:endCxn id="34" idx="1"/>
                      </a:cNvCxnSpPr>
                    </a:nvCxnSpPr>
                    <a:spPr>
                      <a:xfrm flipV="1">
                        <a:off x="7200900" y="2642394"/>
                        <a:ext cx="342900" cy="157956"/>
                      </a:xfrm>
                      <a:prstGeom prst="line">
                        <a:avLst/>
                      </a:prstGeom>
                    </a:spPr>
                    <a:style>
                      <a:lnRef idx="1">
                        <a:schemeClr val="accent1"/>
                      </a:lnRef>
                      <a:fillRef idx="0">
                        <a:schemeClr val="accent1"/>
                      </a:fillRef>
                      <a:effectRef idx="0">
                        <a:schemeClr val="accent1"/>
                      </a:effectRef>
                      <a:fontRef idx="minor">
                        <a:schemeClr val="tx1"/>
                      </a:fontRef>
                    </a:style>
                  </a:cxnSp>
                  <a:sp>
                    <a:nvSpPr>
                      <a:cNvPr id="52" name="Freeform 51"/>
                      <a:cNvSpPr/>
                    </a:nvSpPr>
                    <a:spPr>
                      <a:xfrm>
                        <a:off x="3870664" y="2645546"/>
                        <a:ext cx="3648722" cy="398015"/>
                      </a:xfrm>
                      <a:custGeom>
                        <a:avLst/>
                        <a:gdLst>
                          <a:gd name="connsiteX0" fmla="*/ 0 w 3648722"/>
                          <a:gd name="connsiteY0" fmla="*/ 319596 h 398015"/>
                          <a:gd name="connsiteX1" fmla="*/ 568171 w 3648722"/>
                          <a:gd name="connsiteY1" fmla="*/ 390617 h 398015"/>
                          <a:gd name="connsiteX2" fmla="*/ 2095130 w 3648722"/>
                          <a:gd name="connsiteY2" fmla="*/ 363984 h 398015"/>
                          <a:gd name="connsiteX3" fmla="*/ 3080552 w 3648722"/>
                          <a:gd name="connsiteY3" fmla="*/ 204186 h 398015"/>
                          <a:gd name="connsiteX4" fmla="*/ 3648722 w 3648722"/>
                          <a:gd name="connsiteY4" fmla="*/ 0 h 39801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648722" h="398015">
                            <a:moveTo>
                              <a:pt x="0" y="319596"/>
                            </a:moveTo>
                            <a:cubicBezTo>
                              <a:pt x="109491" y="351407"/>
                              <a:pt x="568171" y="390617"/>
                              <a:pt x="568171" y="390617"/>
                            </a:cubicBezTo>
                            <a:cubicBezTo>
                              <a:pt x="917359" y="398015"/>
                              <a:pt x="1676400" y="395056"/>
                              <a:pt x="2095130" y="363984"/>
                            </a:cubicBezTo>
                            <a:cubicBezTo>
                              <a:pt x="2513860" y="332912"/>
                              <a:pt x="2821620" y="264850"/>
                              <a:pt x="3080552" y="204186"/>
                            </a:cubicBezTo>
                            <a:cubicBezTo>
                              <a:pt x="3339484" y="143522"/>
                              <a:pt x="3494103" y="71761"/>
                              <a:pt x="3648722"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3" name="TextBox 52"/>
                      <a:cNvSpPr txBox="1"/>
                    </a:nvSpPr>
                    <a:spPr>
                      <a:xfrm>
                        <a:off x="4572000" y="2057400"/>
                        <a:ext cx="1670394"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VPN Network Extension</a:t>
                          </a:r>
                          <a:endParaRPr lang="en-US" sz="1200" dirty="0"/>
                        </a:p>
                      </a:txBody>
                      <a:useSpRect/>
                    </a:txSp>
                  </a:sp>
                  <a:cxnSp>
                    <a:nvCxnSpPr>
                      <a:cNvPr id="55" name="Straight Arrow Connector 54"/>
                      <a:cNvCxnSpPr/>
                    </a:nvCxnSpPr>
                    <a:spPr>
                      <a:xfrm rot="5400000">
                        <a:off x="4419600" y="25908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pic>
                    <a:nvPicPr>
                      <a:cNvPr id="38" name="Picture 95" descr="ferver_farm_j.gif"/>
                      <a:cNvPicPr>
                        <a:picLocks noChangeAspect="1"/>
                      </a:cNvPicPr>
                    </a:nvPicPr>
                    <a:blipFill>
                      <a:blip r:embed="rId15" cstate="print"/>
                      <a:srcRect/>
                      <a:stretch>
                        <a:fillRect/>
                      </a:stretch>
                    </a:blipFill>
                    <a:spPr bwMode="auto">
                      <a:xfrm>
                        <a:off x="7467600" y="3429000"/>
                        <a:ext cx="561975" cy="560387"/>
                      </a:xfrm>
                      <a:prstGeom prst="rect">
                        <a:avLst/>
                      </a:prstGeom>
                      <a:noFill/>
                      <a:ln w="9525">
                        <a:noFill/>
                        <a:miter lim="800000"/>
                        <a:headEnd/>
                        <a:tailEnd/>
                      </a:ln>
                    </a:spPr>
                  </a:pic>
                  <a:sp>
                    <a:nvSpPr>
                      <a:cNvPr id="40" name="Text Box 88"/>
                      <a:cNvSpPr txBox="1">
                        <a:spLocks noChangeArrowheads="1"/>
                      </a:cNvSpPr>
                    </a:nvSpPr>
                    <a:spPr bwMode="auto">
                      <a:xfrm>
                        <a:off x="7239000" y="3962400"/>
                        <a:ext cx="1348703" cy="276999"/>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Other Data Center</a:t>
                          </a:r>
                          <a:endParaRPr lang="en-US" sz="1200" b="1" dirty="0">
                            <a:cs typeface="Arial" pitchFamily="34" charset="0"/>
                          </a:endParaRPr>
                        </a:p>
                      </a:txBody>
                      <a:useSpRect/>
                    </a:txSp>
                  </a:sp>
                  <a:sp>
                    <a:nvSpPr>
                      <a:cNvPr id="41" name="Freeform 40"/>
                      <a:cNvSpPr/>
                    </a:nvSpPr>
                    <a:spPr>
                      <a:xfrm>
                        <a:off x="5669280" y="3038622"/>
                        <a:ext cx="1800665" cy="703384"/>
                      </a:xfrm>
                      <a:custGeom>
                        <a:avLst/>
                        <a:gdLst>
                          <a:gd name="connsiteX0" fmla="*/ 0 w 1800665"/>
                          <a:gd name="connsiteY0" fmla="*/ 0 h 703384"/>
                          <a:gd name="connsiteX1" fmla="*/ 365760 w 1800665"/>
                          <a:gd name="connsiteY1" fmla="*/ 478301 h 703384"/>
                          <a:gd name="connsiteX2" fmla="*/ 1800665 w 1800665"/>
                          <a:gd name="connsiteY2" fmla="*/ 703384 h 703384"/>
                        </a:gdLst>
                        <a:ahLst/>
                        <a:cxnLst>
                          <a:cxn ang="0">
                            <a:pos x="connsiteX0" y="connsiteY0"/>
                          </a:cxn>
                          <a:cxn ang="0">
                            <a:pos x="connsiteX1" y="connsiteY1"/>
                          </a:cxn>
                          <a:cxn ang="0">
                            <a:pos x="connsiteX2" y="connsiteY2"/>
                          </a:cxn>
                        </a:cxnLst>
                        <a:rect l="l" t="t" r="r" b="b"/>
                        <a:pathLst>
                          <a:path w="1800665" h="703384">
                            <a:moveTo>
                              <a:pt x="0" y="0"/>
                            </a:moveTo>
                            <a:cubicBezTo>
                              <a:pt x="32824" y="180535"/>
                              <a:pt x="65649" y="361070"/>
                              <a:pt x="365760" y="478301"/>
                            </a:cubicBezTo>
                            <a:cubicBezTo>
                              <a:pt x="665871" y="595532"/>
                              <a:pt x="1233268" y="649458"/>
                              <a:pt x="1800665" y="703384"/>
                            </a:cubicBezTo>
                          </a:path>
                        </a:pathLst>
                      </a:custGeom>
                      <a:noFill/>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lc:lockedCanvas>
              </a:graphicData>
            </a:graphic>
          </wp:inline>
        </w:drawing>
      </w:r>
    </w:p>
    <w:p w:rsidR="009E4E8F" w:rsidRPr="002F3818" w:rsidRDefault="009E4E8F" w:rsidP="009E4E8F">
      <w:pPr>
        <w:jc w:val="center"/>
        <w:rPr>
          <w:b/>
          <w:bCs/>
        </w:rPr>
      </w:pPr>
      <w:bookmarkStart w:id="15" w:name="_Ref296374312"/>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5</w:t>
      </w:r>
      <w:r w:rsidR="0065254A" w:rsidRPr="00780334">
        <w:rPr>
          <w:b/>
          <w:bCs/>
        </w:rPr>
        <w:fldChar w:fldCharType="end"/>
      </w:r>
      <w:r w:rsidRPr="00780334">
        <w:rPr>
          <w:b/>
          <w:bCs/>
          <w:noProof/>
          <w:lang w:val="en-US"/>
        </w:rPr>
        <w:t xml:space="preserve"> - </w:t>
      </w:r>
      <w:r>
        <w:rPr>
          <w:b/>
          <w:bCs/>
          <w:noProof/>
          <w:lang w:val="en-US"/>
        </w:rPr>
        <w:t>Virtual Desktop Service</w:t>
      </w:r>
      <w:r w:rsidR="00B168E6">
        <w:rPr>
          <w:b/>
          <w:bCs/>
          <w:noProof/>
          <w:lang w:val="en-US"/>
        </w:rPr>
        <w:t xml:space="preserve"> in Enterprise Domain</w:t>
      </w:r>
      <w:bookmarkEnd w:id="15"/>
    </w:p>
    <w:p w:rsidR="009E4E8F" w:rsidRDefault="00822F1B" w:rsidP="004C09AE">
      <w:pPr>
        <w:jc w:val="both"/>
      </w:pPr>
      <w:r>
        <w:rPr>
          <w:szCs w:val="22"/>
        </w:rPr>
        <w:t>In the simplest form of the service, a Service Provider offers a hosted VD service to enterprises. The virt</w:t>
      </w:r>
      <w:r w:rsidR="009E07AE">
        <w:rPr>
          <w:szCs w:val="22"/>
        </w:rPr>
        <w:t>ual desktops are hosted in the Service P</w:t>
      </w:r>
      <w:r>
        <w:rPr>
          <w:szCs w:val="22"/>
        </w:rPr>
        <w:t>rovider</w:t>
      </w:r>
      <w:r w:rsidR="00294D5B">
        <w:rPr>
          <w:szCs w:val="22"/>
        </w:rPr>
        <w:t>’s data cent</w:t>
      </w:r>
      <w:r>
        <w:rPr>
          <w:szCs w:val="22"/>
        </w:rPr>
        <w:t>r</w:t>
      </w:r>
      <w:r w:rsidR="00294D5B">
        <w:rPr>
          <w:szCs w:val="22"/>
        </w:rPr>
        <w:t>e</w:t>
      </w:r>
      <w:r>
        <w:rPr>
          <w:szCs w:val="22"/>
        </w:rPr>
        <w:t>, whereas additional resources and data are actually hosted within the enterprise premises. Such resources can include</w:t>
      </w:r>
      <w:r w:rsidR="00294D5B">
        <w:rPr>
          <w:szCs w:val="22"/>
        </w:rPr>
        <w:t xml:space="preserve"> but are</w:t>
      </w:r>
      <w:r>
        <w:rPr>
          <w:szCs w:val="22"/>
        </w:rPr>
        <w:t xml:space="preserve"> not limited</w:t>
      </w:r>
      <w:r w:rsidR="009E3AAF">
        <w:rPr>
          <w:szCs w:val="22"/>
        </w:rPr>
        <w:t xml:space="preserve"> to applications and data storage</w:t>
      </w:r>
      <w:r>
        <w:rPr>
          <w:szCs w:val="22"/>
        </w:rPr>
        <w:t>, as well as physical resources such as printers, proj</w:t>
      </w:r>
      <w:r w:rsidR="009E3AAF">
        <w:rPr>
          <w:szCs w:val="22"/>
        </w:rPr>
        <w:t>ectors etc. For example, in</w:t>
      </w:r>
      <w:r>
        <w:rPr>
          <w:szCs w:val="22"/>
        </w:rPr>
        <w:t xml:space="preserve"> case where an employee is located within the enterprise premises and is using the remote desktop and needs to print a document in a local printer or needs to access a storage facility within the enterprise. Alternatively, the user might just need to access an application that is located within the enterprise premises.  In order to realize an end-to-end secure solutio</w:t>
      </w:r>
      <w:r w:rsidR="009E07AE">
        <w:rPr>
          <w:szCs w:val="22"/>
        </w:rPr>
        <w:t>n, the Service P</w:t>
      </w:r>
      <w:r>
        <w:rPr>
          <w:szCs w:val="22"/>
        </w:rPr>
        <w:t>rovider provides a secure connection to the enterprise premises for the back-end of the virtual desktops. The connection can be an extension of an existing managed VPN service offered to the same enterprise (for example over VPLS/MPLS) or it can be a new service</w:t>
      </w:r>
    </w:p>
    <w:p w:rsidR="00822F1B" w:rsidRDefault="0032782A" w:rsidP="004C09AE">
      <w:pPr>
        <w:jc w:val="both"/>
        <w:rPr>
          <w:szCs w:val="22"/>
        </w:rPr>
      </w:pPr>
      <w:r>
        <w:rPr>
          <w:szCs w:val="22"/>
        </w:rPr>
        <w:t>Since more than one virtual desktop are hosted in</w:t>
      </w:r>
      <w:r w:rsidR="00CE06C2">
        <w:rPr>
          <w:szCs w:val="22"/>
        </w:rPr>
        <w:t xml:space="preserve"> the Service P</w:t>
      </w:r>
      <w:r>
        <w:rPr>
          <w:szCs w:val="22"/>
        </w:rPr>
        <w:t>rovider</w:t>
      </w:r>
      <w:r w:rsidR="00CE06C2">
        <w:rPr>
          <w:szCs w:val="22"/>
        </w:rPr>
        <w:t>’s</w:t>
      </w:r>
      <w:r>
        <w:rPr>
          <w:szCs w:val="22"/>
        </w:rPr>
        <w:t xml:space="preserve"> data centre, one or multiple secure connections can be established between the S</w:t>
      </w:r>
      <w:r w:rsidR="00CE06C2">
        <w:rPr>
          <w:szCs w:val="22"/>
        </w:rPr>
        <w:t xml:space="preserve">ervice </w:t>
      </w:r>
      <w:r>
        <w:rPr>
          <w:szCs w:val="22"/>
        </w:rPr>
        <w:t>P</w:t>
      </w:r>
      <w:r w:rsidR="00CE06C2">
        <w:rPr>
          <w:szCs w:val="22"/>
        </w:rPr>
        <w:t>rovider’s data cent</w:t>
      </w:r>
      <w:r>
        <w:rPr>
          <w:szCs w:val="22"/>
        </w:rPr>
        <w:t>r</w:t>
      </w:r>
      <w:r w:rsidR="00CE06C2">
        <w:rPr>
          <w:szCs w:val="22"/>
        </w:rPr>
        <w:t>e and the enterprise data centre</w:t>
      </w:r>
      <w:r>
        <w:rPr>
          <w:szCs w:val="22"/>
        </w:rPr>
        <w:t>. One possible service instantiation assumes that all virtual desktop</w:t>
      </w:r>
      <w:r w:rsidR="00CE06C2">
        <w:rPr>
          <w:szCs w:val="22"/>
        </w:rPr>
        <w:t>s use the same VLAN within the Service P</w:t>
      </w:r>
      <w:r>
        <w:rPr>
          <w:szCs w:val="22"/>
        </w:rPr>
        <w:t>rovider</w:t>
      </w:r>
      <w:r w:rsidR="00CE06C2">
        <w:rPr>
          <w:szCs w:val="22"/>
        </w:rPr>
        <w:t xml:space="preserve">’s data centre </w:t>
      </w:r>
      <w:r>
        <w:rPr>
          <w:szCs w:val="22"/>
        </w:rPr>
        <w:t>and an L2 VPN service is used to exten</w:t>
      </w:r>
      <w:r w:rsidR="009A29C4">
        <w:rPr>
          <w:szCs w:val="22"/>
        </w:rPr>
        <w:t>d this VLAN to the enterprise data centre</w:t>
      </w:r>
      <w:r>
        <w:rPr>
          <w:szCs w:val="22"/>
        </w:rPr>
        <w:t xml:space="preserve">. In alternate implementations, the enterprise might choose to partition virtual desktops between user groups (for example finance </w:t>
      </w:r>
      <w:proofErr w:type="spellStart"/>
      <w:r>
        <w:rPr>
          <w:szCs w:val="22"/>
        </w:rPr>
        <w:t>v</w:t>
      </w:r>
      <w:r w:rsidR="009A29C4">
        <w:rPr>
          <w:szCs w:val="22"/>
        </w:rPr>
        <w:t>.</w:t>
      </w:r>
      <w:r>
        <w:rPr>
          <w:szCs w:val="22"/>
        </w:rPr>
        <w:t>s</w:t>
      </w:r>
      <w:proofErr w:type="spellEnd"/>
      <w:r w:rsidR="009A29C4">
        <w:rPr>
          <w:szCs w:val="22"/>
        </w:rPr>
        <w:t>.</w:t>
      </w:r>
      <w:r>
        <w:rPr>
          <w:szCs w:val="22"/>
        </w:rPr>
        <w:t xml:space="preserve"> engineering), and different VLANs are assigned to each group </w:t>
      </w:r>
      <w:r>
        <w:rPr>
          <w:szCs w:val="22"/>
        </w:rPr>
        <w:lastRenderedPageBreak/>
        <w:t>of desktops. In this case, multiple VPN connections</w:t>
      </w:r>
      <w:r w:rsidR="009A29C4">
        <w:rPr>
          <w:szCs w:val="22"/>
        </w:rPr>
        <w:t xml:space="preserve"> might be required between the Service P</w:t>
      </w:r>
      <w:r>
        <w:rPr>
          <w:szCs w:val="22"/>
        </w:rPr>
        <w:t>rovider</w:t>
      </w:r>
      <w:r w:rsidR="009A29C4">
        <w:rPr>
          <w:szCs w:val="22"/>
        </w:rPr>
        <w:t>’s data centre and the enterprise data centre.</w:t>
      </w:r>
    </w:p>
    <w:p w:rsidR="00986EAC" w:rsidRDefault="00986EAC" w:rsidP="004C09AE">
      <w:pPr>
        <w:jc w:val="both"/>
        <w:rPr>
          <w:szCs w:val="22"/>
        </w:rPr>
      </w:pPr>
      <w:r>
        <w:rPr>
          <w:szCs w:val="22"/>
        </w:rPr>
        <w:t>Note that enterprise resources might be hosted either in data centres owned by the enterprise or other hosting environments such a co-located facility or a third party data centre. In addition, the backend connection might need to connect the virtual desktop to more than one data centre and it can be based on a point-to-point (ELINE) or point-to-multipoint (ELAN) service. Alternatively connectivity can be also based on an L3 VPN. As we will identify later, the choice of networking technology will determine to a certain extend the types of services that can be offered to the enterprise</w:t>
      </w:r>
      <w:r w:rsidR="007C0C19">
        <w:rPr>
          <w:szCs w:val="22"/>
        </w:rPr>
        <w:t>.</w:t>
      </w:r>
    </w:p>
    <w:p w:rsidR="002C63FD" w:rsidRPr="00E526EC" w:rsidRDefault="002C63FD" w:rsidP="002C63FD">
      <w:pPr>
        <w:pStyle w:val="ListParagraph"/>
        <w:numPr>
          <w:ilvl w:val="2"/>
          <w:numId w:val="28"/>
        </w:numPr>
        <w:jc w:val="both"/>
        <w:rPr>
          <w:rFonts w:ascii="Arial" w:hAnsi="Arial" w:cs="Arial"/>
          <w:sz w:val="28"/>
          <w:szCs w:val="28"/>
        </w:rPr>
      </w:pPr>
      <w:r w:rsidRPr="00E526EC">
        <w:rPr>
          <w:rFonts w:ascii="Arial" w:hAnsi="Arial" w:cs="Arial"/>
          <w:sz w:val="28"/>
          <w:szCs w:val="28"/>
        </w:rPr>
        <w:t xml:space="preserve">VDI </w:t>
      </w:r>
      <w:r w:rsidR="005B1CFA">
        <w:rPr>
          <w:rFonts w:ascii="Arial" w:hAnsi="Arial" w:cs="Arial"/>
          <w:sz w:val="28"/>
          <w:szCs w:val="28"/>
        </w:rPr>
        <w:t>across Service Providers</w:t>
      </w:r>
    </w:p>
    <w:p w:rsidR="002C63FD" w:rsidRDefault="00237C74" w:rsidP="004C09AE">
      <w:pPr>
        <w:jc w:val="both"/>
        <w:rPr>
          <w:szCs w:val="22"/>
        </w:rPr>
      </w:pPr>
      <w:r>
        <w:rPr>
          <w:szCs w:val="22"/>
        </w:rPr>
        <w:t xml:space="preserve">A more complete outline of the various actors in a generic use case is shown in </w:t>
      </w:r>
      <w:r w:rsidR="0065254A">
        <w:rPr>
          <w:szCs w:val="22"/>
        </w:rPr>
        <w:fldChar w:fldCharType="begin"/>
      </w:r>
      <w:r w:rsidR="00061EBD">
        <w:rPr>
          <w:szCs w:val="22"/>
        </w:rPr>
        <w:instrText xml:space="preserve"> REF _Ref296375007 \h </w:instrText>
      </w:r>
      <w:r w:rsidR="0065254A">
        <w:rPr>
          <w:szCs w:val="22"/>
        </w:rPr>
      </w:r>
      <w:r w:rsidR="0065254A">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65254A">
        <w:rPr>
          <w:szCs w:val="22"/>
        </w:rPr>
        <w:fldChar w:fldCharType="end"/>
      </w:r>
      <w:r>
        <w:rPr>
          <w:szCs w:val="22"/>
        </w:rPr>
        <w:t>. An enterprise buys a virtual desktop servi</w:t>
      </w:r>
      <w:r w:rsidR="00061EBD">
        <w:rPr>
          <w:szCs w:val="22"/>
        </w:rPr>
        <w:t>ce from Service Provider A, which</w:t>
      </w:r>
      <w:r>
        <w:rPr>
          <w:szCs w:val="22"/>
        </w:rPr>
        <w:t xml:space="preserve"> </w:t>
      </w:r>
      <w:r w:rsidR="009D5FBF">
        <w:rPr>
          <w:szCs w:val="22"/>
        </w:rPr>
        <w:t>is also identified</w:t>
      </w:r>
      <w:r>
        <w:rPr>
          <w:szCs w:val="22"/>
        </w:rPr>
        <w:t xml:space="preserve"> as the </w:t>
      </w:r>
      <w:r w:rsidR="009D5FBF">
        <w:rPr>
          <w:b/>
          <w:szCs w:val="22"/>
        </w:rPr>
        <w:t>Primary VDC P</w:t>
      </w:r>
      <w:r w:rsidRPr="00253A94">
        <w:rPr>
          <w:b/>
          <w:szCs w:val="22"/>
        </w:rPr>
        <w:t>rovider</w:t>
      </w:r>
      <w:r>
        <w:rPr>
          <w:szCs w:val="22"/>
        </w:rPr>
        <w:t xml:space="preserve">. The primary VDC can partner with one or more </w:t>
      </w:r>
      <w:r>
        <w:rPr>
          <w:b/>
          <w:szCs w:val="22"/>
        </w:rPr>
        <w:t>Supporting VDC Providers (</w:t>
      </w:r>
      <w:r>
        <w:rPr>
          <w:szCs w:val="22"/>
        </w:rPr>
        <w:t>Service Provider B)</w:t>
      </w:r>
      <w:r>
        <w:rPr>
          <w:b/>
          <w:szCs w:val="22"/>
        </w:rPr>
        <w:t xml:space="preserve">. </w:t>
      </w:r>
      <w:r>
        <w:rPr>
          <w:szCs w:val="22"/>
        </w:rPr>
        <w:t>Depending on user location and or SLA requirements the virtual desktop of a user can move between the primary and supporting VDCs. Ideally the virtual desktop must be located as close to the end-user as possible, and if the primary VDC does not have a facility close to the end-user, it is possible to utilize the services of a supporting VDC. The same can be done in the case of disaster recovery or maintenance periods. The primary VDC can utilize the services of a supporting VDC if a power failure is likely to bring down the primary VDC.</w:t>
      </w:r>
    </w:p>
    <w:p w:rsidR="007C0C19" w:rsidRDefault="007C0C19" w:rsidP="007C0C19">
      <w:pPr>
        <w:jc w:val="center"/>
        <w:rPr>
          <w:szCs w:val="22"/>
        </w:rPr>
      </w:pPr>
      <w:r>
        <w:rPr>
          <w:noProof/>
          <w:szCs w:val="22"/>
          <w:lang w:val="en-US" w:eastAsia="zh-CN"/>
        </w:rPr>
        <w:drawing>
          <wp:inline distT="0" distB="0" distL="0" distR="0">
            <wp:extent cx="5947410" cy="3220085"/>
            <wp:effectExtent l="0" t="0" r="0" b="0"/>
            <wp:docPr id="10" name="Object 3"/>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4953000"/>
                      <a:chOff x="0" y="1447800"/>
                      <a:chExt cx="9144000" cy="4953000"/>
                    </a:xfrm>
                  </a:grpSpPr>
                  <a:sp>
                    <a:nvSpPr>
                      <a:cNvPr id="86" name="Cloud 85"/>
                      <a:cNvSpPr/>
                    </a:nvSpPr>
                    <a:spPr>
                      <a:xfrm>
                        <a:off x="65532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ounded Rectangle 35"/>
                      <a:cNvSpPr/>
                    </a:nvSpPr>
                    <a:spPr>
                      <a:xfrm>
                        <a:off x="1676400" y="15240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9"/>
                      <a:cNvGrpSpPr/>
                    </a:nvGrpSpPr>
                    <a:grpSpPr>
                      <a:xfrm>
                        <a:off x="2133600" y="1828800"/>
                        <a:ext cx="1029449" cy="1219200"/>
                        <a:chOff x="1371600" y="2667000"/>
                        <a:chExt cx="1029449" cy="1219200"/>
                      </a:xfrm>
                    </a:grpSpPr>
                    <a:sp>
                      <a:nvSpPr>
                        <a:cNvPr id="7" name="Rounded Rectangle 6"/>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TextBox 7"/>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9" name="Rectangle 8"/>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Group 10"/>
                      <a:cNvGrpSpPr/>
                    </a:nvGrpSpPr>
                    <a:grpSpPr>
                      <a:xfrm>
                        <a:off x="2286000" y="1981200"/>
                        <a:ext cx="1029449" cy="1219200"/>
                        <a:chOff x="1371600" y="2667000"/>
                        <a:chExt cx="1029449" cy="1219200"/>
                      </a:xfrm>
                    </a:grpSpPr>
                    <a:sp>
                      <a:nvSpPr>
                        <a:cNvPr id="12" name="Rounded Rectangle 11"/>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TextBox 12"/>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4" name="Rectangle 13"/>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 name="Group 14"/>
                      <a:cNvGrpSpPr/>
                    </a:nvGrpSpPr>
                    <a:grpSpPr>
                      <a:xfrm>
                        <a:off x="2438400" y="2133600"/>
                        <a:ext cx="1029449" cy="1219200"/>
                        <a:chOff x="1371600" y="2667000"/>
                        <a:chExt cx="1029449" cy="1219200"/>
                      </a:xfrm>
                    </a:grpSpPr>
                    <a:sp>
                      <a:nvSpPr>
                        <a:cNvPr id="16" name="Rounded Rectangle 15"/>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TextBox 16"/>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18" name="Rectangle 17"/>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4" name="Straight Connector 23"/>
                      <a:cNvCxnSpPr/>
                    </a:nvCxnSpPr>
                    <a:spPr>
                      <a:xfrm>
                        <a:off x="553517" y="1979116"/>
                        <a:ext cx="1580083" cy="154484"/>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flipV="1">
                        <a:off x="553517" y="2590800"/>
                        <a:ext cx="1732483" cy="150316"/>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629717" y="2971800"/>
                        <a:ext cx="1808683" cy="455116"/>
                      </a:xfrm>
                      <a:prstGeom prst="line">
                        <a:avLst/>
                      </a:prstGeom>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2286000" y="3429000"/>
                        <a:ext cx="1479892"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Provider </a:t>
                          </a:r>
                          <a:r>
                            <a:rPr lang="en-US" sz="1100" b="1" dirty="0" smtClean="0"/>
                            <a:t> A DC</a:t>
                          </a:r>
                          <a:endParaRPr lang="en-US" sz="1100" b="1" dirty="0"/>
                        </a:p>
                      </a:txBody>
                      <a:useSpRect/>
                    </a:txSp>
                  </a:sp>
                  <a:pic>
                    <a:nvPicPr>
                      <a:cNvPr id="31"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76200" y="1600200"/>
                        <a:ext cx="615950" cy="579437"/>
                      </a:xfrm>
                      <a:prstGeom prst="rect">
                        <a:avLst/>
                      </a:prstGeom>
                      <a:noFill/>
                      <a:ln w="9525">
                        <a:noFill/>
                        <a:miter lim="800000"/>
                        <a:headEnd/>
                        <a:tailEnd/>
                      </a:ln>
                    </a:spPr>
                  </a:pic>
                  <a:pic>
                    <a:nvPicPr>
                      <a:cNvPr id="32"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76200" y="2438400"/>
                        <a:ext cx="615950" cy="579437"/>
                      </a:xfrm>
                      <a:prstGeom prst="rect">
                        <a:avLst/>
                      </a:prstGeom>
                      <a:noFill/>
                      <a:ln w="9525">
                        <a:noFill/>
                        <a:miter lim="800000"/>
                        <a:headEnd/>
                        <a:tailEnd/>
                      </a:ln>
                    </a:spPr>
                  </a:pic>
                  <a:pic>
                    <a:nvPicPr>
                      <a:cNvPr id="33"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228600" y="3124200"/>
                        <a:ext cx="615950" cy="579437"/>
                      </a:xfrm>
                      <a:prstGeom prst="rect">
                        <a:avLst/>
                      </a:prstGeom>
                      <a:noFill/>
                      <a:ln w="9525">
                        <a:noFill/>
                        <a:miter lim="800000"/>
                        <a:headEnd/>
                        <a:tailEnd/>
                      </a:ln>
                    </a:spPr>
                  </a:pic>
                  <a:pic>
                    <a:nvPicPr>
                      <a:cNvPr id="34" name="Picture 95" descr="ferver_farm_j.gif"/>
                      <a:cNvPicPr>
                        <a:picLocks noChangeAspect="1"/>
                      </a:cNvPicPr>
                    </a:nvPicPr>
                    <a:blipFill>
                      <a:blip r:embed="rId15" cstate="print"/>
                      <a:srcRect/>
                      <a:stretch>
                        <a:fillRect/>
                      </a:stretch>
                    </a:blipFill>
                    <a:spPr bwMode="auto">
                      <a:xfrm>
                        <a:off x="8014794" y="1828800"/>
                        <a:ext cx="561975" cy="560387"/>
                      </a:xfrm>
                      <a:prstGeom prst="rect">
                        <a:avLst/>
                      </a:prstGeom>
                      <a:noFill/>
                      <a:ln w="9525">
                        <a:noFill/>
                        <a:miter lim="800000"/>
                        <a:headEnd/>
                        <a:tailEnd/>
                      </a:ln>
                    </a:spPr>
                  </a:pic>
                  <a:sp>
                    <a:nvSpPr>
                      <a:cNvPr id="35" name="Text Box 88"/>
                      <a:cNvSpPr txBox="1">
                        <a:spLocks noChangeArrowheads="1"/>
                      </a:cNvSpPr>
                    </a:nvSpPr>
                    <a:spPr bwMode="auto">
                      <a:xfrm>
                        <a:off x="7938594" y="2362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pic>
                    <a:nvPicPr>
                      <a:cNvPr id="37" name="Picture 47" descr="Service_Router_Blue"/>
                      <a:cNvPicPr>
                        <a:picLocks noChangeAspect="1" noChangeArrowheads="1"/>
                      </a:cNvPicPr>
                    </a:nvPicPr>
                    <a:blipFill>
                      <a:blip r:embed="rId16" cstate="print"/>
                      <a:srcRect/>
                      <a:stretch>
                        <a:fillRect/>
                      </a:stretch>
                    </a:blipFill>
                    <a:spPr bwMode="auto">
                      <a:xfrm>
                        <a:off x="3733800" y="2438400"/>
                        <a:ext cx="266700" cy="266700"/>
                      </a:xfrm>
                      <a:prstGeom prst="rect">
                        <a:avLst/>
                      </a:prstGeom>
                      <a:noFill/>
                      <a:ln w="9525">
                        <a:noFill/>
                        <a:miter lim="800000"/>
                        <a:headEnd/>
                        <a:tailEnd/>
                      </a:ln>
                    </a:spPr>
                  </a:pic>
                  <a:cxnSp>
                    <a:nvCxnSpPr>
                      <a:cNvPr id="39" name="Straight Connector 38"/>
                      <a:cNvCxnSpPr>
                        <a:endCxn id="37" idx="1"/>
                      </a:cNvCxnSpPr>
                    </a:nvCxnSpPr>
                    <a:spPr>
                      <a:xfrm flipV="1">
                        <a:off x="3429000" y="25717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43" name="Straight Connector 42"/>
                      <a:cNvCxnSpPr>
                        <a:stCxn id="37" idx="1"/>
                      </a:cNvCxnSpPr>
                    </a:nvCxnSpPr>
                    <a:spPr>
                      <a:xfrm rot="10800000">
                        <a:off x="3429000" y="23622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44" name="TextBox 43"/>
                      <a:cNvSpPr txBox="1"/>
                    </a:nvSpPr>
                    <a:spPr>
                      <a:xfrm>
                        <a:off x="3733800" y="26670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sp>
                    <a:nvSpPr>
                      <a:cNvPr id="45" name="Cloud 44"/>
                      <a:cNvSpPr/>
                    </a:nvSpPr>
                    <a:spPr>
                      <a:xfrm>
                        <a:off x="4267200" y="1676400"/>
                        <a:ext cx="35814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Straight Connector 47"/>
                      <a:cNvCxnSpPr>
                        <a:stCxn id="37" idx="3"/>
                        <a:endCxn id="45" idx="2"/>
                      </a:cNvCxnSpPr>
                    </a:nvCxnSpPr>
                    <a:spPr>
                      <a:xfrm flipV="1">
                        <a:off x="4000500" y="2286000"/>
                        <a:ext cx="277809" cy="285750"/>
                      </a:xfrm>
                      <a:prstGeom prst="line">
                        <a:avLst/>
                      </a:prstGeom>
                    </a:spPr>
                    <a:style>
                      <a:lnRef idx="1">
                        <a:schemeClr val="accent1"/>
                      </a:lnRef>
                      <a:fillRef idx="0">
                        <a:schemeClr val="accent1"/>
                      </a:fillRef>
                      <a:effectRef idx="0">
                        <a:schemeClr val="accent1"/>
                      </a:effectRef>
                      <a:fontRef idx="minor">
                        <a:schemeClr val="tx1"/>
                      </a:fontRef>
                    </a:style>
                  </a:cxnSp>
                  <a:sp>
                    <a:nvSpPr>
                      <a:cNvPr id="53" name="TextBox 52"/>
                      <a:cNvSpPr txBox="1"/>
                    </a:nvSpPr>
                    <a:spPr>
                      <a:xfrm>
                        <a:off x="4114800" y="1447800"/>
                        <a:ext cx="2044021"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200" dirty="0" smtClean="0"/>
                            <a:t>Enterprise Network Extension</a:t>
                          </a:r>
                          <a:endParaRPr lang="en-US" sz="1200" dirty="0"/>
                        </a:p>
                      </a:txBody>
                      <a:useSpRect/>
                    </a:txSp>
                  </a:sp>
                  <a:cxnSp>
                    <a:nvCxnSpPr>
                      <a:cNvPr id="55" name="Straight Arrow Connector 54"/>
                      <a:cNvCxnSpPr/>
                    </a:nvCxnSpPr>
                    <a:spPr>
                      <a:xfrm rot="5400000">
                        <a:off x="3886200" y="1981200"/>
                        <a:ext cx="762000" cy="152400"/>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8" name="Rounded Rectangle 37"/>
                      <a:cNvSpPr/>
                    </a:nvSpPr>
                    <a:spPr>
                      <a:xfrm>
                        <a:off x="3886200" y="4038600"/>
                        <a:ext cx="2362200" cy="2362200"/>
                      </a:xfrm>
                      <a:prstGeom prst="roundRect">
                        <a:avLst/>
                      </a:prstGeom>
                      <a:solidFill>
                        <a:schemeClr val="accent5">
                          <a:lumMod val="20000"/>
                          <a:lumOff val="80000"/>
                        </a:schemeClr>
                      </a:solidFill>
                      <a:ln>
                        <a:solidFill>
                          <a:schemeClr val="accent5">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9"/>
                      <a:cNvGrpSpPr/>
                    </a:nvGrpSpPr>
                    <a:grpSpPr>
                      <a:xfrm>
                        <a:off x="4343400" y="4343400"/>
                        <a:ext cx="1029449" cy="1219200"/>
                        <a:chOff x="1371600" y="2667000"/>
                        <a:chExt cx="1029449" cy="1219200"/>
                      </a:xfrm>
                    </a:grpSpPr>
                    <a:sp>
                      <a:nvSpPr>
                        <a:cNvPr id="41" name="Rounded Rectangle 40"/>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47" name="Rectangle 4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0" name="Group 10"/>
                      <a:cNvGrpSpPr/>
                    </a:nvGrpSpPr>
                    <a:grpSpPr>
                      <a:xfrm>
                        <a:off x="4495800" y="4495800"/>
                        <a:ext cx="1029449" cy="1219200"/>
                        <a:chOff x="1371600" y="2667000"/>
                        <a:chExt cx="1029449" cy="1219200"/>
                      </a:xfrm>
                    </a:grpSpPr>
                    <a:sp>
                      <a:nvSpPr>
                        <a:cNvPr id="54" name="Rounded Rectangle 53"/>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TextBox 55"/>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57" name="Rectangle 56"/>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58" name="Group 14"/>
                      <a:cNvGrpSpPr/>
                    </a:nvGrpSpPr>
                    <a:grpSpPr>
                      <a:xfrm>
                        <a:off x="4648200" y="4648200"/>
                        <a:ext cx="1029449" cy="1219200"/>
                        <a:chOff x="1371600" y="2667000"/>
                        <a:chExt cx="1029449" cy="1219200"/>
                      </a:xfrm>
                    </a:grpSpPr>
                    <a:sp>
                      <a:nvSpPr>
                        <a:cNvPr id="59" name="Rounded Rectangle 58"/>
                        <a:cNvSpPr/>
                      </a:nvSpPr>
                      <a:spPr>
                        <a:xfrm>
                          <a:off x="1371600" y="2667000"/>
                          <a:ext cx="990600" cy="1219200"/>
                        </a:xfrm>
                        <a:prstGeom prst="roundRect">
                          <a:avLst/>
                        </a:prstGeom>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TextBox 59"/>
                        <a:cNvSpPr txBox="1"/>
                      </a:nvSpPr>
                      <a:spPr>
                        <a:xfrm>
                          <a:off x="1371600" y="3581400"/>
                          <a:ext cx="1029449"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Virtual Desktop</a:t>
                            </a:r>
                            <a:endParaRPr lang="en-US" sz="1050" dirty="0"/>
                          </a:p>
                        </a:txBody>
                        <a:useSpRect/>
                      </a:txSp>
                    </a:sp>
                    <a:sp>
                      <a:nvSpPr>
                        <a:cNvPr id="61" name="Rectangle 60"/>
                        <a:cNvSpPr/>
                      </a:nvSpPr>
                      <a:spPr>
                        <a:xfrm>
                          <a:off x="1447800" y="2743200"/>
                          <a:ext cx="838200" cy="457200"/>
                        </a:xfrm>
                        <a:prstGeom prst="rect">
                          <a:avLst/>
                        </a:prstGeom>
                        <a:solidFill>
                          <a:schemeClr val="accent3">
                            <a:lumMod val="20000"/>
                            <a:lumOff val="80000"/>
                          </a:schemeClr>
                        </a:solidFill>
                        <a:ln>
                          <a:solidFill>
                            <a:schemeClr val="accent3">
                              <a:lumMod val="20000"/>
                              <a:lumOff val="8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50" dirty="0" smtClean="0">
                                <a:solidFill>
                                  <a:schemeClr val="tx1"/>
                                </a:solidFill>
                              </a:rPr>
                              <a:t>Application</a:t>
                            </a:r>
                            <a:endParaRPr lang="en-US" sz="105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2" name="TextBox 61"/>
                      <a:cNvSpPr txBox="1"/>
                    </a:nvSpPr>
                    <a:spPr>
                      <a:xfrm>
                        <a:off x="4495800" y="5943600"/>
                        <a:ext cx="1441420"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Service </a:t>
                          </a:r>
                          <a:r>
                            <a:rPr lang="en-US" sz="1100" b="1" dirty="0" smtClean="0"/>
                            <a:t>Provider B </a:t>
                          </a:r>
                          <a:r>
                            <a:rPr lang="en-US" sz="1100" b="1" dirty="0" smtClean="0"/>
                            <a:t>DC</a:t>
                          </a:r>
                          <a:endParaRPr lang="en-US" sz="1100" b="1" dirty="0"/>
                        </a:p>
                      </a:txBody>
                      <a:useSpRect/>
                    </a:txSp>
                  </a:sp>
                  <a:pic>
                    <a:nvPicPr>
                      <a:cNvPr id="63" name="Picture 47" descr="Service_Router_Blue"/>
                      <a:cNvPicPr>
                        <a:picLocks noChangeAspect="1" noChangeArrowheads="1"/>
                      </a:cNvPicPr>
                    </a:nvPicPr>
                    <a:blipFill>
                      <a:blip r:embed="rId16" cstate="print"/>
                      <a:srcRect/>
                      <a:stretch>
                        <a:fillRect/>
                      </a:stretch>
                    </a:blipFill>
                    <a:spPr bwMode="auto">
                      <a:xfrm>
                        <a:off x="5943600" y="4953000"/>
                        <a:ext cx="266700" cy="266700"/>
                      </a:xfrm>
                      <a:prstGeom prst="rect">
                        <a:avLst/>
                      </a:prstGeom>
                      <a:noFill/>
                      <a:ln w="9525">
                        <a:noFill/>
                        <a:miter lim="800000"/>
                        <a:headEnd/>
                        <a:tailEnd/>
                      </a:ln>
                    </a:spPr>
                  </a:pic>
                  <a:cxnSp>
                    <a:nvCxnSpPr>
                      <a:cNvPr id="64" name="Straight Connector 63"/>
                      <a:cNvCxnSpPr>
                        <a:endCxn id="63" idx="1"/>
                      </a:cNvCxnSpPr>
                    </a:nvCxnSpPr>
                    <a:spPr>
                      <a:xfrm flipV="1">
                        <a:off x="5638800" y="5086350"/>
                        <a:ext cx="304800" cy="171450"/>
                      </a:xfrm>
                      <a:prstGeom prst="line">
                        <a:avLst/>
                      </a:prstGeom>
                    </a:spPr>
                    <a:style>
                      <a:lnRef idx="1">
                        <a:schemeClr val="accent1"/>
                      </a:lnRef>
                      <a:fillRef idx="0">
                        <a:schemeClr val="accent1"/>
                      </a:fillRef>
                      <a:effectRef idx="0">
                        <a:schemeClr val="accent1"/>
                      </a:effectRef>
                      <a:fontRef idx="minor">
                        <a:schemeClr val="tx1"/>
                      </a:fontRef>
                    </a:style>
                  </a:cxnSp>
                  <a:cxnSp>
                    <a:nvCxnSpPr>
                      <a:cNvPr id="65" name="Straight Connector 64"/>
                      <a:cNvCxnSpPr>
                        <a:stCxn id="63" idx="1"/>
                      </a:cNvCxnSpPr>
                    </a:nvCxnSpPr>
                    <a:spPr>
                      <a:xfrm rot="10800000">
                        <a:off x="5638800" y="4876800"/>
                        <a:ext cx="304800" cy="209550"/>
                      </a:xfrm>
                      <a:prstGeom prst="line">
                        <a:avLst/>
                      </a:prstGeom>
                    </a:spPr>
                    <a:style>
                      <a:lnRef idx="1">
                        <a:schemeClr val="accent1"/>
                      </a:lnRef>
                      <a:fillRef idx="0">
                        <a:schemeClr val="accent1"/>
                      </a:fillRef>
                      <a:effectRef idx="0">
                        <a:schemeClr val="accent1"/>
                      </a:effectRef>
                      <a:fontRef idx="minor">
                        <a:schemeClr val="tx1"/>
                      </a:fontRef>
                    </a:style>
                  </a:cxnSp>
                  <a:sp>
                    <a:nvSpPr>
                      <a:cNvPr id="66" name="TextBox 65"/>
                      <a:cNvSpPr txBox="1"/>
                    </a:nvSpPr>
                    <a:spPr>
                      <a:xfrm>
                        <a:off x="5943600" y="5181600"/>
                        <a:ext cx="328936"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100" b="1" dirty="0" smtClean="0"/>
                            <a:t>PE</a:t>
                          </a:r>
                          <a:endParaRPr lang="en-US" sz="1100" b="1" dirty="0"/>
                        </a:p>
                      </a:txBody>
                      <a:useSpRect/>
                    </a:txSp>
                  </a:sp>
                  <a:pic>
                    <a:nvPicPr>
                      <a:cNvPr id="67" name="Picture 3" descr="C:\Documents and Settings\reachuser\My Documents\GraphicDesign\MarketingDesign\Solution_collateral\Relevance_collateral\RelevanceArchitecture\Users.png"/>
                      <a:cNvPicPr>
                        <a:picLocks noChangeAspect="1" noChangeArrowheads="1"/>
                      </a:cNvPicPr>
                    </a:nvPicPr>
                    <a:blipFill>
                      <a:blip r:embed="rId14" cstate="print"/>
                      <a:srcRect/>
                      <a:stretch>
                        <a:fillRect/>
                      </a:stretch>
                    </a:blipFill>
                    <a:spPr bwMode="auto">
                      <a:xfrm>
                        <a:off x="3124200" y="4724400"/>
                        <a:ext cx="615950" cy="579437"/>
                      </a:xfrm>
                      <a:prstGeom prst="rect">
                        <a:avLst/>
                      </a:prstGeom>
                      <a:noFill/>
                      <a:ln w="9525">
                        <a:noFill/>
                        <a:miter lim="800000"/>
                        <a:headEnd/>
                        <a:tailEnd/>
                      </a:ln>
                    </a:spPr>
                  </a:pic>
                  <a:cxnSp>
                    <a:nvCxnSpPr>
                      <a:cNvPr id="68" name="Straight Connector 67"/>
                      <a:cNvCxnSpPr>
                        <a:endCxn id="59" idx="1"/>
                      </a:cNvCxnSpPr>
                    </a:nvCxnSpPr>
                    <a:spPr>
                      <a:xfrm>
                        <a:off x="3657600" y="5027116"/>
                        <a:ext cx="990600" cy="230684"/>
                      </a:xfrm>
                      <a:prstGeom prst="line">
                        <a:avLst/>
                      </a:prstGeom>
                    </a:spPr>
                    <a:style>
                      <a:lnRef idx="1">
                        <a:schemeClr val="accent1"/>
                      </a:lnRef>
                      <a:fillRef idx="0">
                        <a:schemeClr val="accent1"/>
                      </a:fillRef>
                      <a:effectRef idx="0">
                        <a:schemeClr val="accent1"/>
                      </a:effectRef>
                      <a:fontRef idx="minor">
                        <a:schemeClr val="tx1"/>
                      </a:fontRef>
                    </a:style>
                  </a:cxnSp>
                  <a:cxnSp>
                    <a:nvCxnSpPr>
                      <a:cNvPr id="71" name="Straight Connector 70"/>
                      <a:cNvCxnSpPr>
                        <a:stCxn id="63" idx="0"/>
                      </a:cNvCxnSpPr>
                    </a:nvCxnSpPr>
                    <a:spPr>
                      <a:xfrm rot="16200000" flipV="1">
                        <a:off x="4943475" y="3819525"/>
                        <a:ext cx="1371600" cy="895350"/>
                      </a:xfrm>
                      <a:prstGeom prst="line">
                        <a:avLst/>
                      </a:prstGeom>
                    </a:spPr>
                    <a:style>
                      <a:lnRef idx="1">
                        <a:schemeClr val="accent1"/>
                      </a:lnRef>
                      <a:fillRef idx="0">
                        <a:schemeClr val="accent1"/>
                      </a:fillRef>
                      <a:effectRef idx="0">
                        <a:schemeClr val="accent1"/>
                      </a:effectRef>
                      <a:fontRef idx="minor">
                        <a:schemeClr val="tx1"/>
                      </a:fontRef>
                    </a:style>
                  </a:cxnSp>
                  <a:sp>
                    <a:nvSpPr>
                      <a:cNvPr id="72" name="Freeform 71"/>
                      <a:cNvSpPr/>
                    </a:nvSpPr>
                    <a:spPr>
                      <a:xfrm>
                        <a:off x="3457852" y="2206101"/>
                        <a:ext cx="4543148" cy="522303"/>
                      </a:xfrm>
                      <a:custGeom>
                        <a:avLst/>
                        <a:gdLst>
                          <a:gd name="connsiteX0" fmla="*/ 0 w 3577701"/>
                          <a:gd name="connsiteY0" fmla="*/ 221942 h 522303"/>
                          <a:gd name="connsiteX1" fmla="*/ 497150 w 3577701"/>
                          <a:gd name="connsiteY1" fmla="*/ 399495 h 522303"/>
                          <a:gd name="connsiteX2" fmla="*/ 2698812 w 3577701"/>
                          <a:gd name="connsiteY2" fmla="*/ 479394 h 522303"/>
                          <a:gd name="connsiteX3" fmla="*/ 3107185 w 3577701"/>
                          <a:gd name="connsiteY3" fmla="*/ 142043 h 522303"/>
                          <a:gd name="connsiteX4" fmla="*/ 3577701 w 3577701"/>
                          <a:gd name="connsiteY4" fmla="*/ 0 h 522303"/>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577701" h="522303">
                            <a:moveTo>
                              <a:pt x="0" y="221942"/>
                            </a:moveTo>
                            <a:cubicBezTo>
                              <a:pt x="23674" y="289264"/>
                              <a:pt x="47348" y="356586"/>
                              <a:pt x="497150" y="399495"/>
                            </a:cubicBezTo>
                            <a:cubicBezTo>
                              <a:pt x="946952" y="442404"/>
                              <a:pt x="2263806" y="522303"/>
                              <a:pt x="2698812" y="479394"/>
                            </a:cubicBezTo>
                            <a:cubicBezTo>
                              <a:pt x="3133818" y="436485"/>
                              <a:pt x="2960704" y="221942"/>
                              <a:pt x="3107185" y="142043"/>
                            </a:cubicBezTo>
                            <a:cubicBezTo>
                              <a:pt x="3253667" y="62144"/>
                              <a:pt x="3415684" y="31072"/>
                              <a:pt x="3577701"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4" name="Freeform 73"/>
                      <a:cNvSpPr/>
                    </a:nvSpPr>
                    <a:spPr>
                      <a:xfrm>
                        <a:off x="767918" y="3662039"/>
                        <a:ext cx="2476870" cy="1242874"/>
                      </a:xfrm>
                      <a:custGeom>
                        <a:avLst/>
                        <a:gdLst>
                          <a:gd name="connsiteX0" fmla="*/ 0 w 2476870"/>
                          <a:gd name="connsiteY0" fmla="*/ 0 h 1242874"/>
                          <a:gd name="connsiteX1" fmla="*/ 1083076 w 2476870"/>
                          <a:gd name="connsiteY1" fmla="*/ 745724 h 1242874"/>
                          <a:gd name="connsiteX2" fmla="*/ 2476870 w 2476870"/>
                          <a:gd name="connsiteY2" fmla="*/ 1242874 h 1242874"/>
                        </a:gdLst>
                        <a:ahLst/>
                        <a:cxnLst>
                          <a:cxn ang="0">
                            <a:pos x="connsiteX0" y="connsiteY0"/>
                          </a:cxn>
                          <a:cxn ang="0">
                            <a:pos x="connsiteX1" y="connsiteY1"/>
                          </a:cxn>
                          <a:cxn ang="0">
                            <a:pos x="connsiteX2" y="connsiteY2"/>
                          </a:cxn>
                        </a:cxnLst>
                        <a:rect l="l" t="t" r="r" b="b"/>
                        <a:pathLst>
                          <a:path w="2476870" h="1242874">
                            <a:moveTo>
                              <a:pt x="0" y="0"/>
                            </a:moveTo>
                            <a:cubicBezTo>
                              <a:pt x="335132" y="269289"/>
                              <a:pt x="670264" y="538578"/>
                              <a:pt x="1083076" y="745724"/>
                            </a:cubicBezTo>
                            <a:cubicBezTo>
                              <a:pt x="1495888" y="952870"/>
                              <a:pt x="1986379" y="1097872"/>
                              <a:pt x="2476870" y="1242874"/>
                            </a:cubicBezTo>
                          </a:path>
                        </a:pathLst>
                      </a:custGeom>
                      <a:ln>
                        <a:solidFill>
                          <a:srgbClr val="00B050"/>
                        </a:solidFill>
                        <a:prstDash val="sysDash"/>
                        <a:headEnd type="none" w="med" len="med"/>
                        <a:tailEnd type="triangle" w="med" len="med"/>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75" name="TextBox 74"/>
                      <a:cNvSpPr txBox="1"/>
                    </a:nvSpPr>
                    <a:spPr>
                      <a:xfrm>
                        <a:off x="0" y="20574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1</a:t>
                          </a:r>
                          <a:endParaRPr lang="en-US" sz="1050" dirty="0"/>
                        </a:p>
                      </a:txBody>
                      <a:useSpRect/>
                    </a:txSp>
                  </a:sp>
                  <a:sp>
                    <a:nvSpPr>
                      <a:cNvPr id="76" name="TextBox 75"/>
                      <a:cNvSpPr txBox="1"/>
                    </a:nvSpPr>
                    <a:spPr>
                      <a:xfrm>
                        <a:off x="228600" y="28956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2</a:t>
                          </a:r>
                          <a:endParaRPr lang="en-US" sz="1050" dirty="0"/>
                        </a:p>
                      </a:txBody>
                      <a:useSpRect/>
                    </a:txSp>
                  </a:sp>
                  <a:sp>
                    <a:nvSpPr>
                      <a:cNvPr id="77" name="TextBox 76"/>
                      <a:cNvSpPr txBox="1"/>
                    </a:nvSpPr>
                    <a:spPr>
                      <a:xfrm>
                        <a:off x="228600" y="37338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8" name="TextBox 77"/>
                      <a:cNvSpPr txBox="1"/>
                    </a:nvSpPr>
                    <a:spPr>
                      <a:xfrm>
                        <a:off x="3048000" y="5334000"/>
                        <a:ext cx="537327" cy="253916"/>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a:t>
                          </a:r>
                          <a:endParaRPr lang="en-US" sz="1050" dirty="0"/>
                        </a:p>
                      </a:txBody>
                      <a:useSpRect/>
                    </a:txSp>
                  </a:sp>
                  <a:sp>
                    <a:nvSpPr>
                      <a:cNvPr id="79" name="TextBox 78"/>
                      <a:cNvSpPr txBox="1"/>
                    </a:nvSpPr>
                    <a:spPr>
                      <a:xfrm>
                        <a:off x="457200" y="4495800"/>
                        <a:ext cx="1720343" cy="57708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050" dirty="0" smtClean="0"/>
                            <a:t>User 3 Virtual Desktop</a:t>
                          </a:r>
                        </a:p>
                        <a:p>
                          <a:r>
                            <a:rPr lang="en-US" sz="1050" dirty="0" smtClean="0"/>
                            <a:t>moving to new DC, closer to</a:t>
                          </a:r>
                        </a:p>
                        <a:p>
                          <a:r>
                            <a:rPr lang="en-US" sz="1050" dirty="0" smtClean="0"/>
                            <a:t>current  physical location</a:t>
                          </a:r>
                          <a:endParaRPr lang="en-US" sz="1050" dirty="0"/>
                        </a:p>
                      </a:txBody>
                      <a:useSpRect/>
                    </a:txSp>
                  </a:sp>
                  <a:pic>
                    <a:nvPicPr>
                      <a:cNvPr id="69" name="Picture 95" descr="ferver_farm_j.gif"/>
                      <a:cNvPicPr>
                        <a:picLocks noChangeAspect="1"/>
                      </a:cNvPicPr>
                    </a:nvPicPr>
                    <a:blipFill>
                      <a:blip r:embed="rId15" cstate="print"/>
                      <a:srcRect/>
                      <a:stretch>
                        <a:fillRect/>
                      </a:stretch>
                    </a:blipFill>
                    <a:spPr bwMode="auto">
                      <a:xfrm>
                        <a:off x="8243394" y="2971800"/>
                        <a:ext cx="561975" cy="560387"/>
                      </a:xfrm>
                      <a:prstGeom prst="rect">
                        <a:avLst/>
                      </a:prstGeom>
                      <a:noFill/>
                      <a:ln w="9525">
                        <a:noFill/>
                        <a:miter lim="800000"/>
                        <a:headEnd/>
                        <a:tailEnd/>
                      </a:ln>
                    </a:spPr>
                  </a:pic>
                  <a:sp>
                    <a:nvSpPr>
                      <a:cNvPr id="70" name="Text Box 88"/>
                      <a:cNvSpPr txBox="1">
                        <a:spLocks noChangeArrowheads="1"/>
                      </a:cNvSpPr>
                    </a:nvSpPr>
                    <a:spPr bwMode="auto">
                      <a:xfrm>
                        <a:off x="8167194" y="3505200"/>
                        <a:ext cx="976806" cy="461665"/>
                      </a:xfrm>
                      <a:prstGeom prst="rect">
                        <a:avLst/>
                      </a:prstGeom>
                      <a:noFill/>
                      <a:ln w="9525">
                        <a:noFill/>
                        <a:miter lim="800000"/>
                        <a:headEnd/>
                        <a:tailEnd/>
                      </a:ln>
                      <a:effectLst>
                        <a:prstShdw prst="shdw17" dist="17961" dir="2700000">
                          <a:schemeClr val="accent1">
                            <a:gamma/>
                            <a:shade val="60000"/>
                            <a:invGamma/>
                          </a:schemeClr>
                        </a:prstShdw>
                      </a:effectLst>
                    </a:spPr>
                    <a:txSp>
                      <a:txBody>
                        <a:bodyPr wrap="none">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l" eaLnBrk="1" hangingPunct="1">
                            <a:lnSpc>
                              <a:spcPct val="100000"/>
                            </a:lnSpc>
                            <a:spcAft>
                              <a:spcPct val="0"/>
                            </a:spcAft>
                            <a:buClrTx/>
                            <a:buFontTx/>
                            <a:buNone/>
                            <a:defRPr/>
                          </a:pPr>
                          <a:r>
                            <a:rPr lang="en-US" sz="1200" b="1" dirty="0" smtClean="0">
                              <a:cs typeface="Arial" pitchFamily="34" charset="0"/>
                            </a:rPr>
                            <a:t>Enterprise</a:t>
                          </a:r>
                        </a:p>
                        <a:p>
                          <a:pPr algn="l" eaLnBrk="1" hangingPunct="1">
                            <a:lnSpc>
                              <a:spcPct val="100000"/>
                            </a:lnSpc>
                            <a:spcAft>
                              <a:spcPct val="0"/>
                            </a:spcAft>
                            <a:buClrTx/>
                            <a:buFontTx/>
                            <a:buNone/>
                            <a:defRPr/>
                          </a:pPr>
                          <a:r>
                            <a:rPr lang="en-US" sz="1200" b="1" dirty="0" smtClean="0">
                              <a:cs typeface="Arial" pitchFamily="34" charset="0"/>
                            </a:rPr>
                            <a:t> </a:t>
                          </a:r>
                          <a:r>
                            <a:rPr lang="en-US" sz="1200" b="1" dirty="0">
                              <a:cs typeface="Arial" pitchFamily="34" charset="0"/>
                            </a:rPr>
                            <a:t>Data Center</a:t>
                          </a:r>
                        </a:p>
                      </a:txBody>
                      <a:useSpRect/>
                    </a:txSp>
                  </a:sp>
                  <a:sp>
                    <a:nvSpPr>
                      <a:cNvPr id="80" name="Freeform 79"/>
                      <a:cNvSpPr/>
                    </a:nvSpPr>
                    <a:spPr>
                      <a:xfrm>
                        <a:off x="6295292" y="2679895"/>
                        <a:ext cx="2010508" cy="825305"/>
                      </a:xfrm>
                      <a:custGeom>
                        <a:avLst/>
                        <a:gdLst>
                          <a:gd name="connsiteX0" fmla="*/ 0 w 1055077"/>
                          <a:gd name="connsiteY0" fmla="*/ 0 h 757311"/>
                          <a:gd name="connsiteX1" fmla="*/ 478302 w 1055077"/>
                          <a:gd name="connsiteY1" fmla="*/ 295422 h 757311"/>
                          <a:gd name="connsiteX2" fmla="*/ 745588 w 1055077"/>
                          <a:gd name="connsiteY2" fmla="*/ 703385 h 757311"/>
                          <a:gd name="connsiteX3" fmla="*/ 1055077 w 1055077"/>
                          <a:gd name="connsiteY3" fmla="*/ 618979 h 757311"/>
                        </a:gdLst>
                        <a:ahLst/>
                        <a:cxnLst>
                          <a:cxn ang="0">
                            <a:pos x="connsiteX0" y="connsiteY0"/>
                          </a:cxn>
                          <a:cxn ang="0">
                            <a:pos x="connsiteX1" y="connsiteY1"/>
                          </a:cxn>
                          <a:cxn ang="0">
                            <a:pos x="connsiteX2" y="connsiteY2"/>
                          </a:cxn>
                          <a:cxn ang="0">
                            <a:pos x="connsiteX3" y="connsiteY3"/>
                          </a:cxn>
                        </a:cxnLst>
                        <a:rect l="l" t="t" r="r" b="b"/>
                        <a:pathLst>
                          <a:path w="1055077" h="757311">
                            <a:moveTo>
                              <a:pt x="0" y="0"/>
                            </a:moveTo>
                            <a:cubicBezTo>
                              <a:pt x="177018" y="89095"/>
                              <a:pt x="354037" y="178191"/>
                              <a:pt x="478302" y="295422"/>
                            </a:cubicBezTo>
                            <a:cubicBezTo>
                              <a:pt x="602567" y="412653"/>
                              <a:pt x="649459" y="649459"/>
                              <a:pt x="745588" y="703385"/>
                            </a:cubicBezTo>
                            <a:cubicBezTo>
                              <a:pt x="841717" y="757311"/>
                              <a:pt x="948397" y="688145"/>
                              <a:pt x="1055077" y="618979"/>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5" name="Cloud 84"/>
                      <a:cNvSpPr/>
                    </a:nvSpPr>
                    <a:spPr>
                      <a:xfrm>
                        <a:off x="4953000" y="2819400"/>
                        <a:ext cx="1371600" cy="1219200"/>
                      </a:xfrm>
                      <a:prstGeom prst="cloud">
                        <a:avLst/>
                      </a:prstGeom>
                      <a:solidFill>
                        <a:schemeClr val="bg2">
                          <a:lumMod val="9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3" name="Freeform 72"/>
                      <a:cNvSpPr/>
                    </a:nvSpPr>
                    <a:spPr>
                      <a:xfrm>
                        <a:off x="5924365" y="2694373"/>
                        <a:ext cx="95435" cy="2258627"/>
                      </a:xfrm>
                      <a:custGeom>
                        <a:avLst/>
                        <a:gdLst>
                          <a:gd name="connsiteX0" fmla="*/ 880369 w 880369"/>
                          <a:gd name="connsiteY0" fmla="*/ 1740023 h 1740023"/>
                          <a:gd name="connsiteX1" fmla="*/ 125767 w 880369"/>
                          <a:gd name="connsiteY1" fmla="*/ 523782 h 1740023"/>
                          <a:gd name="connsiteX2" fmla="*/ 125767 w 880369"/>
                          <a:gd name="connsiteY2" fmla="*/ 0 h 1740023"/>
                        </a:gdLst>
                        <a:ahLst/>
                        <a:cxnLst>
                          <a:cxn ang="0">
                            <a:pos x="connsiteX0" y="connsiteY0"/>
                          </a:cxn>
                          <a:cxn ang="0">
                            <a:pos x="connsiteX1" y="connsiteY1"/>
                          </a:cxn>
                          <a:cxn ang="0">
                            <a:pos x="connsiteX2" y="connsiteY2"/>
                          </a:cxn>
                        </a:cxnLst>
                        <a:rect l="l" t="t" r="r" b="b"/>
                        <a:pathLst>
                          <a:path w="880369" h="1740023">
                            <a:moveTo>
                              <a:pt x="880369" y="1740023"/>
                            </a:moveTo>
                            <a:cubicBezTo>
                              <a:pt x="565951" y="1276904"/>
                              <a:pt x="251534" y="813786"/>
                              <a:pt x="125767" y="523782"/>
                            </a:cubicBezTo>
                            <a:cubicBezTo>
                              <a:pt x="0" y="233778"/>
                              <a:pt x="62883" y="116889"/>
                              <a:pt x="125767" y="0"/>
                            </a:cubicBezTo>
                          </a:path>
                        </a:pathLst>
                      </a:custGeom>
                      <a:ln w="38100">
                        <a:solidFill>
                          <a:srgbClr val="FF0000"/>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0" name="TextBox 89"/>
                      <a:cNvSpPr txBox="1"/>
                    </a:nvSpPr>
                    <a:spPr>
                      <a:xfrm>
                        <a:off x="5715000" y="19812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A</a:t>
                          </a:r>
                          <a:endParaRPr lang="en-US" sz="1400" b="1" dirty="0"/>
                        </a:p>
                      </a:txBody>
                      <a:useSpRect/>
                    </a:txSp>
                  </a:sp>
                  <a:sp>
                    <a:nvSpPr>
                      <a:cNvPr id="91" name="TextBox 90"/>
                      <a:cNvSpPr txBox="1"/>
                    </a:nvSpPr>
                    <a:spPr>
                      <a:xfrm>
                        <a:off x="5334000" y="3276600"/>
                        <a:ext cx="506870"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B</a:t>
                          </a:r>
                          <a:endParaRPr lang="en-US" sz="1400" b="1" dirty="0"/>
                        </a:p>
                      </a:txBody>
                      <a:useSpRect/>
                    </a:txSp>
                  </a:sp>
                  <a:sp>
                    <a:nvSpPr>
                      <a:cNvPr id="92" name="TextBox 91"/>
                      <a:cNvSpPr txBox="1"/>
                    </a:nvSpPr>
                    <a:spPr>
                      <a:xfrm>
                        <a:off x="6934200" y="3276600"/>
                        <a:ext cx="51488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400" b="1" dirty="0" smtClean="0"/>
                            <a:t>SP C</a:t>
                          </a:r>
                          <a:endParaRPr lang="en-US" sz="1400" b="1" dirty="0"/>
                        </a:p>
                      </a:txBody>
                      <a:useSpRect/>
                    </a:txSp>
                  </a:sp>
                </lc:lockedCanvas>
              </a:graphicData>
            </a:graphic>
          </wp:inline>
        </w:drawing>
      </w:r>
    </w:p>
    <w:p w:rsidR="007C0C19" w:rsidRPr="002F3818" w:rsidRDefault="007C0C19" w:rsidP="007C0C19">
      <w:pPr>
        <w:jc w:val="center"/>
        <w:rPr>
          <w:b/>
          <w:bCs/>
        </w:rPr>
      </w:pPr>
      <w:bookmarkStart w:id="16" w:name="_Ref296375007"/>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6</w:t>
      </w:r>
      <w:r w:rsidR="0065254A" w:rsidRPr="00780334">
        <w:rPr>
          <w:b/>
          <w:bCs/>
        </w:rPr>
        <w:fldChar w:fldCharType="end"/>
      </w:r>
      <w:r w:rsidRPr="00780334">
        <w:rPr>
          <w:b/>
          <w:bCs/>
          <w:noProof/>
          <w:lang w:val="en-US"/>
        </w:rPr>
        <w:t xml:space="preserve"> - </w:t>
      </w:r>
      <w:r>
        <w:rPr>
          <w:b/>
          <w:bCs/>
          <w:noProof/>
          <w:lang w:val="en-US"/>
        </w:rPr>
        <w:t>Virtual Desktop Service across Service Providers</w:t>
      </w:r>
      <w:bookmarkEnd w:id="16"/>
    </w:p>
    <w:p w:rsidR="007C0C19" w:rsidRDefault="003F06DA" w:rsidP="004C09AE">
      <w:pPr>
        <w:jc w:val="both"/>
      </w:pPr>
      <w:r>
        <w:rPr>
          <w:szCs w:val="22"/>
        </w:rPr>
        <w:t xml:space="preserve">An additional important consideration is that any VDC is also a network provider or can be buying network services from a partner network service provider.  For example in </w:t>
      </w:r>
      <w:r w:rsidR="0065254A">
        <w:rPr>
          <w:szCs w:val="22"/>
        </w:rPr>
        <w:fldChar w:fldCharType="begin"/>
      </w:r>
      <w:r>
        <w:rPr>
          <w:szCs w:val="22"/>
        </w:rPr>
        <w:instrText xml:space="preserve"> REF _Ref296375007 \h </w:instrText>
      </w:r>
      <w:r w:rsidR="0065254A">
        <w:rPr>
          <w:szCs w:val="22"/>
        </w:rPr>
      </w:r>
      <w:r w:rsidR="0065254A">
        <w:rPr>
          <w:szCs w:val="22"/>
        </w:rPr>
        <w:fldChar w:fldCharType="separate"/>
      </w:r>
      <w:r w:rsidR="000D0D34" w:rsidRPr="00780334">
        <w:rPr>
          <w:b/>
          <w:bCs/>
        </w:rPr>
        <w:t xml:space="preserve">Figure </w:t>
      </w:r>
      <w:r w:rsidR="000D0D34">
        <w:rPr>
          <w:b/>
          <w:bCs/>
          <w:noProof/>
        </w:rPr>
        <w:t>6</w:t>
      </w:r>
      <w:r w:rsidR="000D0D34" w:rsidRPr="00780334">
        <w:rPr>
          <w:b/>
          <w:bCs/>
          <w:noProof/>
          <w:lang w:val="en-US"/>
        </w:rPr>
        <w:t xml:space="preserve"> - </w:t>
      </w:r>
      <w:r w:rsidR="000D0D34">
        <w:rPr>
          <w:b/>
          <w:bCs/>
          <w:noProof/>
          <w:lang w:val="en-US"/>
        </w:rPr>
        <w:t>Virtual Desktop Service across Service Providers</w:t>
      </w:r>
      <w:r w:rsidR="0065254A">
        <w:rPr>
          <w:szCs w:val="22"/>
        </w:rPr>
        <w:fldChar w:fldCharType="end"/>
      </w:r>
      <w:r>
        <w:rPr>
          <w:szCs w:val="22"/>
        </w:rPr>
        <w:t>, it is assumed that the Primary VDC also owns its own network and provides managed VPN services to the enterprise customer within their network. However, the Supporting VDC buys network connectivity from an independent network provider. Additionally some of the enterprise services that reside on a third party data centre are served by a separate network service provider.</w:t>
      </w:r>
    </w:p>
    <w:p w:rsidR="00E526EC" w:rsidRPr="00E526EC" w:rsidRDefault="00022510" w:rsidP="00E526EC">
      <w:pPr>
        <w:pStyle w:val="ListParagraph"/>
        <w:numPr>
          <w:ilvl w:val="2"/>
          <w:numId w:val="28"/>
        </w:numPr>
        <w:jc w:val="both"/>
        <w:rPr>
          <w:rFonts w:ascii="Arial" w:hAnsi="Arial" w:cs="Arial"/>
          <w:sz w:val="28"/>
          <w:szCs w:val="28"/>
        </w:rPr>
      </w:pPr>
      <w:r>
        <w:rPr>
          <w:rFonts w:ascii="Arial" w:hAnsi="Arial" w:cs="Arial"/>
          <w:sz w:val="28"/>
          <w:szCs w:val="28"/>
        </w:rPr>
        <w:t>VDI for Cloud-Hosted Telecommunication Terminals</w:t>
      </w:r>
    </w:p>
    <w:p w:rsidR="00D22E1C" w:rsidRDefault="00E2440E" w:rsidP="006970C2">
      <w:pPr>
        <w:jc w:val="both"/>
      </w:pPr>
      <w:r>
        <w:t xml:space="preserve">One of the use cases of VDI in consumer domain is the cloud-hosted telecommunication terminals as shown in </w:t>
      </w:r>
      <w:r w:rsidR="0065254A">
        <w:fldChar w:fldCharType="begin"/>
      </w:r>
      <w:r>
        <w:instrText xml:space="preserve"> REF _Ref296375572 \h </w:instrText>
      </w:r>
      <w:r w:rsidR="0065254A">
        <w:fldChar w:fldCharType="separate"/>
      </w:r>
      <w:r w:rsidR="000D0D34" w:rsidRPr="00780334">
        <w:rPr>
          <w:b/>
          <w:bCs/>
        </w:rPr>
        <w:t xml:space="preserve">Figure </w:t>
      </w:r>
      <w:r w:rsidR="000D0D34">
        <w:rPr>
          <w:b/>
          <w:bCs/>
          <w:noProof/>
        </w:rPr>
        <w:t>7</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Telecommunication Terminals</w:t>
      </w:r>
      <w:r w:rsidR="0065254A">
        <w:fldChar w:fldCharType="end"/>
      </w:r>
      <w:r>
        <w:t>.</w:t>
      </w:r>
      <w:r w:rsidR="007B4D86">
        <w:t xml:space="preserve"> </w:t>
      </w:r>
      <w:ins w:id="17" w:author="Hu Bin 00901719" w:date="2011-06-22T12:23:00Z">
        <w:r w:rsidR="006205EE">
          <w:rPr>
            <w:rFonts w:cs="Book Antiqua"/>
          </w:rPr>
          <w:t xml:space="preserve">This scenario can be seen as a subset of OMA’s Universal Virtual Experience (UVE). </w:t>
        </w:r>
      </w:ins>
      <w:r w:rsidR="000C76C8">
        <w:rPr>
          <w:rFonts w:cs="Courier New"/>
          <w:szCs w:val="22"/>
        </w:rPr>
        <w:t>In this case, the servic</w:t>
      </w:r>
      <w:r w:rsidR="006970C2">
        <w:rPr>
          <w:rFonts w:cs="Courier New"/>
          <w:szCs w:val="22"/>
        </w:rPr>
        <w:t>e providers develop and provide</w:t>
      </w:r>
      <w:r w:rsidR="000C76C8" w:rsidRPr="001B5821">
        <w:rPr>
          <w:rFonts w:cs="Courier New"/>
          <w:szCs w:val="22"/>
        </w:rPr>
        <w:t xml:space="preserve"> the virtual desktop </w:t>
      </w:r>
      <w:r w:rsidR="000C76C8">
        <w:rPr>
          <w:rFonts w:cs="Courier New"/>
          <w:szCs w:val="22"/>
        </w:rPr>
        <w:t xml:space="preserve">and </w:t>
      </w:r>
      <w:r w:rsidR="000C76C8" w:rsidRPr="001B5821">
        <w:rPr>
          <w:rFonts w:cs="Courier New"/>
          <w:szCs w:val="22"/>
        </w:rPr>
        <w:t xml:space="preserve">host </w:t>
      </w:r>
      <w:r w:rsidR="000C76C8">
        <w:rPr>
          <w:rFonts w:cs="Courier New"/>
          <w:szCs w:val="22"/>
        </w:rPr>
        <w:t xml:space="preserve">the </w:t>
      </w:r>
      <w:r w:rsidR="000C76C8" w:rsidRPr="001B5821">
        <w:rPr>
          <w:rFonts w:cs="Courier New"/>
          <w:szCs w:val="22"/>
        </w:rPr>
        <w:t>service</w:t>
      </w:r>
      <w:r w:rsidR="000C76C8">
        <w:rPr>
          <w:rFonts w:cs="Courier New"/>
          <w:szCs w:val="22"/>
        </w:rPr>
        <w:t>s</w:t>
      </w:r>
      <w:r w:rsidR="000C76C8" w:rsidRPr="001B5821">
        <w:rPr>
          <w:rFonts w:cs="Courier New"/>
          <w:szCs w:val="22"/>
        </w:rPr>
        <w:t xml:space="preserve"> to their</w:t>
      </w:r>
      <w:r w:rsidR="000C76C8">
        <w:rPr>
          <w:rFonts w:cs="Courier New"/>
          <w:szCs w:val="22"/>
        </w:rPr>
        <w:t xml:space="preserve"> </w:t>
      </w:r>
      <w:r w:rsidR="000C76C8" w:rsidRPr="001B5821">
        <w:rPr>
          <w:rFonts w:cs="Courier New"/>
          <w:szCs w:val="22"/>
        </w:rPr>
        <w:t>customer</w:t>
      </w:r>
      <w:r w:rsidR="000C76C8">
        <w:rPr>
          <w:rFonts w:cs="Courier New"/>
          <w:szCs w:val="22"/>
        </w:rPr>
        <w:t>s. This allows</w:t>
      </w:r>
      <w:r w:rsidR="000C76C8" w:rsidRPr="001B5821">
        <w:rPr>
          <w:rFonts w:cs="Courier New"/>
          <w:szCs w:val="22"/>
        </w:rPr>
        <w:t xml:space="preserve"> the clients to use the telecommunication</w:t>
      </w:r>
      <w:r w:rsidR="000C76C8">
        <w:rPr>
          <w:rFonts w:cs="Courier New"/>
          <w:szCs w:val="22"/>
        </w:rPr>
        <w:t xml:space="preserve"> </w:t>
      </w:r>
      <w:r w:rsidR="000C76C8" w:rsidRPr="001B5821">
        <w:rPr>
          <w:rFonts w:cs="Courier New"/>
          <w:szCs w:val="22"/>
        </w:rPr>
        <w:t>application</w:t>
      </w:r>
      <w:r w:rsidR="000C76C8">
        <w:rPr>
          <w:rFonts w:cs="Courier New"/>
          <w:szCs w:val="22"/>
        </w:rPr>
        <w:t>s</w:t>
      </w:r>
      <w:r w:rsidR="000C76C8" w:rsidRPr="001B5821">
        <w:rPr>
          <w:rFonts w:cs="Courier New"/>
          <w:szCs w:val="22"/>
        </w:rPr>
        <w:t xml:space="preserve"> </w:t>
      </w:r>
      <w:r w:rsidR="000C76C8">
        <w:rPr>
          <w:rFonts w:cs="Courier New"/>
          <w:szCs w:val="22"/>
        </w:rPr>
        <w:t xml:space="preserve">like </w:t>
      </w:r>
      <w:r w:rsidR="000C76C8" w:rsidRPr="001B5821">
        <w:rPr>
          <w:rFonts w:cs="Courier New"/>
          <w:szCs w:val="22"/>
        </w:rPr>
        <w:t>local phone</w:t>
      </w:r>
      <w:r w:rsidR="000C76C8">
        <w:rPr>
          <w:rFonts w:cs="Courier New"/>
          <w:szCs w:val="22"/>
        </w:rPr>
        <w:t xml:space="preserve"> service</w:t>
      </w:r>
      <w:r w:rsidR="000C76C8" w:rsidRPr="001B5821">
        <w:rPr>
          <w:rFonts w:cs="Courier New"/>
          <w:szCs w:val="22"/>
        </w:rPr>
        <w:t>, video calls,</w:t>
      </w:r>
      <w:r w:rsidR="000C76C8">
        <w:rPr>
          <w:rFonts w:cs="Courier New"/>
          <w:szCs w:val="22"/>
        </w:rPr>
        <w:t xml:space="preserve"> </w:t>
      </w:r>
      <w:r w:rsidR="000C76C8" w:rsidRPr="001B5821">
        <w:rPr>
          <w:rFonts w:cs="Courier New"/>
          <w:szCs w:val="22"/>
        </w:rPr>
        <w:t xml:space="preserve">messages </w:t>
      </w:r>
      <w:r w:rsidR="000C76C8" w:rsidRPr="001B5821">
        <w:rPr>
          <w:rFonts w:cs="Courier New"/>
          <w:szCs w:val="22"/>
        </w:rPr>
        <w:lastRenderedPageBreak/>
        <w:t xml:space="preserve">and address book, </w:t>
      </w:r>
      <w:r w:rsidR="000C76C8">
        <w:rPr>
          <w:rFonts w:cs="Courier New"/>
          <w:szCs w:val="22"/>
        </w:rPr>
        <w:t xml:space="preserve">etc. using any device (phone, computer, set-top box), </w:t>
      </w:r>
      <w:r w:rsidR="000C76C8" w:rsidRPr="001B5821">
        <w:rPr>
          <w:rFonts w:cs="Courier New"/>
          <w:szCs w:val="22"/>
        </w:rPr>
        <w:t xml:space="preserve">and </w:t>
      </w:r>
      <w:r w:rsidR="000C76C8">
        <w:rPr>
          <w:rFonts w:cs="Courier New"/>
          <w:szCs w:val="22"/>
        </w:rPr>
        <w:t xml:space="preserve">the subscriber can </w:t>
      </w:r>
      <w:r w:rsidR="000C76C8" w:rsidRPr="001B5821">
        <w:rPr>
          <w:rFonts w:cs="Courier New"/>
          <w:szCs w:val="22"/>
        </w:rPr>
        <w:t>keep the same phone</w:t>
      </w:r>
      <w:r w:rsidR="000C76C8">
        <w:rPr>
          <w:rFonts w:cs="Courier New"/>
          <w:szCs w:val="22"/>
        </w:rPr>
        <w:t xml:space="preserve"> </w:t>
      </w:r>
      <w:r w:rsidR="006970C2">
        <w:rPr>
          <w:rFonts w:cs="Courier New"/>
          <w:szCs w:val="22"/>
        </w:rPr>
        <w:t>number</w:t>
      </w:r>
      <w:r w:rsidR="000C76C8">
        <w:rPr>
          <w:rFonts w:cs="Courier New"/>
          <w:szCs w:val="22"/>
        </w:rPr>
        <w:t xml:space="preserve"> irrespective of where they physically are.</w:t>
      </w:r>
    </w:p>
    <w:p w:rsidR="00E526EC" w:rsidRDefault="00D22E1C" w:rsidP="00D22E1C">
      <w:pPr>
        <w:jc w:val="center"/>
      </w:pPr>
      <w:r>
        <w:rPr>
          <w:noProof/>
          <w:lang w:val="en-US" w:eastAsia="zh-CN"/>
        </w:rPr>
        <w:drawing>
          <wp:inline distT="0" distB="0" distL="0" distR="0">
            <wp:extent cx="5399405" cy="2627630"/>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srcRect/>
                    <a:stretch>
                      <a:fillRect/>
                    </a:stretch>
                  </pic:blipFill>
                  <pic:spPr bwMode="auto">
                    <a:xfrm>
                      <a:off x="0" y="0"/>
                      <a:ext cx="5399405" cy="2627630"/>
                    </a:xfrm>
                    <a:prstGeom prst="rect">
                      <a:avLst/>
                    </a:prstGeom>
                    <a:noFill/>
                    <a:ln w="9525">
                      <a:noFill/>
                      <a:miter lim="800000"/>
                      <a:headEnd/>
                      <a:tailEnd/>
                    </a:ln>
                  </pic:spPr>
                </pic:pic>
              </a:graphicData>
            </a:graphic>
          </wp:inline>
        </w:drawing>
      </w:r>
    </w:p>
    <w:p w:rsidR="0008292B" w:rsidRPr="002F3818" w:rsidRDefault="0008292B" w:rsidP="0008292B">
      <w:pPr>
        <w:jc w:val="center"/>
        <w:rPr>
          <w:b/>
          <w:bCs/>
        </w:rPr>
      </w:pPr>
      <w:bookmarkStart w:id="18" w:name="_Ref296375572"/>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7</w:t>
      </w:r>
      <w:r w:rsidR="0065254A"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Telecommunicati</w:t>
      </w:r>
      <w:r w:rsidR="00022510">
        <w:rPr>
          <w:b/>
          <w:bCs/>
          <w:noProof/>
          <w:lang w:val="en-US"/>
        </w:rPr>
        <w:t>on</w:t>
      </w:r>
      <w:r>
        <w:rPr>
          <w:b/>
          <w:bCs/>
          <w:noProof/>
          <w:lang w:val="en-US"/>
        </w:rPr>
        <w:t xml:space="preserve"> Terminals</w:t>
      </w:r>
      <w:bookmarkEnd w:id="18"/>
    </w:p>
    <w:p w:rsidR="00223153" w:rsidRPr="00E526EC" w:rsidRDefault="00223153" w:rsidP="00223153">
      <w:pPr>
        <w:pStyle w:val="ListParagraph"/>
        <w:numPr>
          <w:ilvl w:val="2"/>
          <w:numId w:val="28"/>
        </w:numPr>
        <w:jc w:val="both"/>
        <w:rPr>
          <w:rFonts w:ascii="Arial" w:hAnsi="Arial" w:cs="Arial"/>
          <w:sz w:val="28"/>
          <w:szCs w:val="28"/>
        </w:rPr>
      </w:pPr>
      <w:r>
        <w:rPr>
          <w:rFonts w:ascii="Arial" w:hAnsi="Arial" w:cs="Arial"/>
          <w:sz w:val="28"/>
          <w:szCs w:val="28"/>
        </w:rPr>
        <w:t>VDI for Cloud-Hosted Virtual Computer</w:t>
      </w:r>
    </w:p>
    <w:p w:rsidR="00D9676E" w:rsidRDefault="004B2965" w:rsidP="004C09AE">
      <w:pPr>
        <w:jc w:val="both"/>
      </w:pPr>
      <w:r>
        <w:t>Another</w:t>
      </w:r>
      <w:r w:rsidR="00C10EDC">
        <w:t xml:space="preserve"> use case of VDI in consumer domain is the cloud-hosted virtual computer as shown in </w:t>
      </w:r>
      <w:r w:rsidR="0065254A">
        <w:fldChar w:fldCharType="begin"/>
      </w:r>
      <w:r w:rsidR="000D0D34">
        <w:instrText xml:space="preserve"> REF _Ref296375779 \h </w:instrText>
      </w:r>
      <w:r w:rsidR="0065254A">
        <w:fldChar w:fldCharType="separate"/>
      </w:r>
      <w:r w:rsidR="000D0D34" w:rsidRPr="00780334">
        <w:rPr>
          <w:b/>
          <w:bCs/>
        </w:rPr>
        <w:t xml:space="preserve">Figure </w:t>
      </w:r>
      <w:r w:rsidR="000D0D34">
        <w:rPr>
          <w:b/>
          <w:bCs/>
          <w:noProof/>
        </w:rPr>
        <w:t>8</w:t>
      </w:r>
      <w:r w:rsidR="000D0D34" w:rsidRPr="00780334">
        <w:rPr>
          <w:b/>
          <w:bCs/>
          <w:noProof/>
          <w:lang w:val="en-US"/>
        </w:rPr>
        <w:t xml:space="preserve"> </w:t>
      </w:r>
      <w:r w:rsidR="000D0D34">
        <w:rPr>
          <w:b/>
          <w:bCs/>
          <w:noProof/>
          <w:lang w:val="en-US"/>
        </w:rPr>
        <w:t>–</w:t>
      </w:r>
      <w:r w:rsidR="000D0D34" w:rsidRPr="00780334">
        <w:rPr>
          <w:b/>
          <w:bCs/>
          <w:noProof/>
          <w:lang w:val="en-US"/>
        </w:rPr>
        <w:t xml:space="preserve"> </w:t>
      </w:r>
      <w:r w:rsidR="000D0D34">
        <w:rPr>
          <w:b/>
          <w:bCs/>
          <w:noProof/>
          <w:lang w:val="en-US"/>
        </w:rPr>
        <w:t>Cloud-Hosted Virtual Computer</w:t>
      </w:r>
      <w:r w:rsidR="0065254A">
        <w:fldChar w:fldCharType="end"/>
      </w:r>
      <w:r w:rsidR="00C10EDC">
        <w:t>.</w:t>
      </w:r>
      <w:r w:rsidR="004F77B6">
        <w:t xml:space="preserve"> </w:t>
      </w:r>
      <w:r w:rsidR="004F77B6">
        <w:rPr>
          <w:rFonts w:cs="Courier New"/>
          <w:szCs w:val="22"/>
        </w:rPr>
        <w:t xml:space="preserve">Service </w:t>
      </w:r>
      <w:r w:rsidR="004F77B6" w:rsidRPr="008C7798">
        <w:rPr>
          <w:rFonts w:cs="Courier New"/>
          <w:szCs w:val="22"/>
        </w:rPr>
        <w:t xml:space="preserve">providers </w:t>
      </w:r>
      <w:r w:rsidR="004F77B6">
        <w:rPr>
          <w:rFonts w:cs="Courier New"/>
          <w:szCs w:val="22"/>
        </w:rPr>
        <w:t xml:space="preserve">can use virtual desktops to provide </w:t>
      </w:r>
      <w:r w:rsidR="004F77B6" w:rsidRPr="008C7798">
        <w:rPr>
          <w:rFonts w:cs="Courier New"/>
          <w:szCs w:val="22"/>
        </w:rPr>
        <w:t xml:space="preserve">Computer </w:t>
      </w:r>
      <w:r w:rsidR="004F77B6">
        <w:rPr>
          <w:rFonts w:cs="Courier New"/>
          <w:szCs w:val="22"/>
        </w:rPr>
        <w:t xml:space="preserve">communications services to </w:t>
      </w:r>
      <w:r w:rsidR="004F77B6" w:rsidRPr="008C7798">
        <w:rPr>
          <w:rFonts w:cs="Courier New"/>
          <w:szCs w:val="22"/>
        </w:rPr>
        <w:t xml:space="preserve">their customers </w:t>
      </w:r>
      <w:r w:rsidR="004F77B6">
        <w:rPr>
          <w:rFonts w:cs="Courier New"/>
          <w:szCs w:val="22"/>
        </w:rPr>
        <w:t>by allowing access</w:t>
      </w:r>
      <w:r w:rsidR="004F77B6" w:rsidRPr="008C7798">
        <w:rPr>
          <w:rFonts w:cs="Courier New"/>
          <w:szCs w:val="22"/>
        </w:rPr>
        <w:t xml:space="preserve"> </w:t>
      </w:r>
      <w:r w:rsidR="004F77B6">
        <w:rPr>
          <w:rFonts w:cs="Courier New"/>
          <w:szCs w:val="22"/>
        </w:rPr>
        <w:t xml:space="preserve">to </w:t>
      </w:r>
      <w:r w:rsidR="004F77B6" w:rsidRPr="008C7798">
        <w:rPr>
          <w:rFonts w:cs="Courier New"/>
          <w:szCs w:val="22"/>
        </w:rPr>
        <w:t>th</w:t>
      </w:r>
      <w:r w:rsidR="004F77B6">
        <w:rPr>
          <w:rFonts w:cs="Courier New"/>
          <w:szCs w:val="22"/>
        </w:rPr>
        <w:t xml:space="preserve">e virtual machine hosted service </w:t>
      </w:r>
      <w:r w:rsidR="004F77B6" w:rsidRPr="008C7798">
        <w:rPr>
          <w:rFonts w:cs="Courier New"/>
          <w:szCs w:val="22"/>
        </w:rPr>
        <w:t xml:space="preserve">via </w:t>
      </w:r>
      <w:r w:rsidR="004F77B6">
        <w:rPr>
          <w:rFonts w:cs="Courier New"/>
          <w:szCs w:val="22"/>
        </w:rPr>
        <w:t xml:space="preserve">the </w:t>
      </w:r>
      <w:r w:rsidR="004F77B6" w:rsidRPr="008C7798">
        <w:rPr>
          <w:rFonts w:cs="Courier New"/>
          <w:szCs w:val="22"/>
        </w:rPr>
        <w:t xml:space="preserve">virtual desktop protocol. The subscription fees </w:t>
      </w:r>
      <w:r w:rsidR="004F77B6">
        <w:rPr>
          <w:rFonts w:cs="Courier New"/>
          <w:szCs w:val="22"/>
        </w:rPr>
        <w:t xml:space="preserve">can </w:t>
      </w:r>
      <w:r w:rsidR="004F77B6" w:rsidRPr="008C7798">
        <w:rPr>
          <w:rFonts w:cs="Courier New"/>
          <w:szCs w:val="22"/>
        </w:rPr>
        <w:t xml:space="preserve">depend on the </w:t>
      </w:r>
      <w:r w:rsidR="004F77B6">
        <w:rPr>
          <w:rFonts w:cs="Courier New"/>
          <w:szCs w:val="22"/>
        </w:rPr>
        <w:t xml:space="preserve">utilization of the </w:t>
      </w:r>
      <w:r w:rsidR="004F77B6" w:rsidRPr="008C7798">
        <w:rPr>
          <w:rFonts w:cs="Courier New"/>
          <w:szCs w:val="22"/>
        </w:rPr>
        <w:t xml:space="preserve">contracted computing resources, such as CPU </w:t>
      </w:r>
      <w:r w:rsidR="004F77B6">
        <w:rPr>
          <w:rFonts w:cs="Courier New"/>
          <w:szCs w:val="22"/>
        </w:rPr>
        <w:t>utilization</w:t>
      </w:r>
      <w:r w:rsidR="004F77B6" w:rsidRPr="008C7798">
        <w:rPr>
          <w:rFonts w:cs="Courier New"/>
          <w:szCs w:val="22"/>
        </w:rPr>
        <w:t xml:space="preserve">, memory capacity, disk quota, and their usage </w:t>
      </w:r>
      <w:r w:rsidR="004F77B6">
        <w:rPr>
          <w:rFonts w:cs="Courier New"/>
          <w:szCs w:val="22"/>
        </w:rPr>
        <w:t>time and volume, etc,</w:t>
      </w:r>
    </w:p>
    <w:p w:rsidR="00C10EDC" w:rsidRDefault="00D9676E" w:rsidP="00D9676E">
      <w:pPr>
        <w:jc w:val="center"/>
      </w:pPr>
      <w:r>
        <w:rPr>
          <w:noProof/>
          <w:lang w:val="en-US" w:eastAsia="zh-CN"/>
        </w:rPr>
        <w:drawing>
          <wp:inline distT="0" distB="0" distL="0" distR="0">
            <wp:extent cx="5822315" cy="2789555"/>
            <wp:effectExtent l="19050" t="0" r="698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5822315" cy="2789555"/>
                    </a:xfrm>
                    <a:prstGeom prst="rect">
                      <a:avLst/>
                    </a:prstGeom>
                    <a:noFill/>
                    <a:ln w="9525">
                      <a:noFill/>
                      <a:miter lim="800000"/>
                      <a:headEnd/>
                      <a:tailEnd/>
                    </a:ln>
                  </pic:spPr>
                </pic:pic>
              </a:graphicData>
            </a:graphic>
          </wp:inline>
        </w:drawing>
      </w:r>
    </w:p>
    <w:p w:rsidR="00223153" w:rsidRPr="007B4D86" w:rsidRDefault="00223153" w:rsidP="007B4D86">
      <w:pPr>
        <w:jc w:val="center"/>
        <w:rPr>
          <w:b/>
          <w:bCs/>
        </w:rPr>
      </w:pPr>
      <w:bookmarkStart w:id="19" w:name="_Ref296375779"/>
      <w:r w:rsidRPr="00780334">
        <w:rPr>
          <w:b/>
          <w:bCs/>
        </w:rPr>
        <w:t xml:space="preserve">Figure </w:t>
      </w:r>
      <w:r w:rsidR="0065254A" w:rsidRPr="00780334">
        <w:rPr>
          <w:b/>
          <w:bCs/>
        </w:rPr>
        <w:fldChar w:fldCharType="begin"/>
      </w:r>
      <w:r w:rsidRPr="00780334">
        <w:rPr>
          <w:b/>
          <w:bCs/>
        </w:rPr>
        <w:instrText xml:space="preserve"> SEQ Figure \* ARABIC </w:instrText>
      </w:r>
      <w:r w:rsidR="0065254A" w:rsidRPr="00780334">
        <w:rPr>
          <w:b/>
          <w:bCs/>
        </w:rPr>
        <w:fldChar w:fldCharType="separate"/>
      </w:r>
      <w:r w:rsidR="000D0D34">
        <w:rPr>
          <w:b/>
          <w:bCs/>
          <w:noProof/>
        </w:rPr>
        <w:t>8</w:t>
      </w:r>
      <w:r w:rsidR="0065254A" w:rsidRPr="00780334">
        <w:rPr>
          <w:b/>
          <w:bCs/>
        </w:rPr>
        <w:fldChar w:fldCharType="end"/>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Cloud-Hosted Virtual Computer</w:t>
      </w:r>
      <w:bookmarkEnd w:id="19"/>
    </w:p>
    <w:p w:rsidR="008B5577" w:rsidRPr="00E526EC" w:rsidRDefault="008B5577" w:rsidP="008B5577">
      <w:pPr>
        <w:pStyle w:val="ListParagraph"/>
        <w:numPr>
          <w:ilvl w:val="2"/>
          <w:numId w:val="28"/>
        </w:numPr>
        <w:jc w:val="both"/>
        <w:rPr>
          <w:rFonts w:ascii="Arial" w:hAnsi="Arial" w:cs="Arial"/>
          <w:sz w:val="28"/>
          <w:szCs w:val="28"/>
        </w:rPr>
      </w:pPr>
      <w:r>
        <w:rPr>
          <w:rFonts w:ascii="Arial" w:hAnsi="Arial" w:cs="Arial"/>
          <w:sz w:val="28"/>
          <w:szCs w:val="28"/>
        </w:rPr>
        <w:t>VDI Standardization</w:t>
      </w:r>
    </w:p>
    <w:p w:rsidR="00822F1B" w:rsidRDefault="008B5577" w:rsidP="004C09AE">
      <w:pPr>
        <w:jc w:val="both"/>
      </w:pPr>
      <w:r>
        <w:t>ATIS CSF intends to standardize the methods for defining and extending the service both at the network and cloud control perspective.</w:t>
      </w:r>
    </w:p>
    <w:p w:rsidR="00215CF2" w:rsidRDefault="00215CF2" w:rsidP="00215CF2">
      <w:pPr>
        <w:pStyle w:val="Heading2"/>
        <w:numPr>
          <w:ilvl w:val="1"/>
          <w:numId w:val="28"/>
        </w:numPr>
      </w:pPr>
      <w:r>
        <w:lastRenderedPageBreak/>
        <w:t>ATIS CSF and OMA</w:t>
      </w:r>
    </w:p>
    <w:p w:rsidR="00215CF2" w:rsidRDefault="00FF3C1F" w:rsidP="00215CF2">
      <w:pPr>
        <w:rPr>
          <w:lang w:val="en-US"/>
        </w:rPr>
      </w:pPr>
      <w:r>
        <w:rPr>
          <w:lang w:val="en-US"/>
        </w:rPr>
        <w:t>OMA Board of Directors approved the recommendations proposed in OMA Cloud Computing White Paper 1.0</w:t>
      </w:r>
      <w:r w:rsidR="00DF2CDE">
        <w:rPr>
          <w:lang w:val="en-US"/>
        </w:rPr>
        <w:t xml:space="preserve"> [OMACLOUD10]</w:t>
      </w:r>
      <w:r>
        <w:rPr>
          <w:lang w:val="en-US"/>
        </w:rPr>
        <w:t>, including:</w:t>
      </w:r>
    </w:p>
    <w:p w:rsidR="00FF3C1F" w:rsidRPr="00132982" w:rsidRDefault="00132982" w:rsidP="00132982">
      <w:pPr>
        <w:pStyle w:val="ListParagraph"/>
        <w:numPr>
          <w:ilvl w:val="0"/>
          <w:numId w:val="29"/>
        </w:numPr>
        <w:rPr>
          <w:lang w:val="en-US"/>
        </w:rPr>
      </w:pPr>
      <w:r w:rsidRPr="00577B44">
        <w:rPr>
          <w:rFonts w:eastAsia="宋体"/>
          <w:lang w:eastAsia="zh-CN"/>
        </w:rPr>
        <w:t>The development and support of Cloud Computing related O&amp;M functionality with OMA enablers</w:t>
      </w:r>
    </w:p>
    <w:p w:rsidR="00132982" w:rsidRPr="00BD6109" w:rsidRDefault="00132982" w:rsidP="00132982">
      <w:pPr>
        <w:pStyle w:val="ListParagraph"/>
        <w:numPr>
          <w:ilvl w:val="0"/>
          <w:numId w:val="29"/>
        </w:numPr>
        <w:rPr>
          <w:lang w:val="en-US"/>
        </w:rPr>
      </w:pPr>
      <w:r w:rsidRPr="00A8794C">
        <w:rPr>
          <w:rFonts w:eastAsia="SimSun"/>
          <w:lang w:eastAsia="zh-CN"/>
        </w:rPr>
        <w:t>To extend the OMA Mobile Commerce and Charging area</w:t>
      </w:r>
    </w:p>
    <w:p w:rsidR="00BD6109" w:rsidRPr="00132982" w:rsidRDefault="00BD6109" w:rsidP="00132982">
      <w:pPr>
        <w:pStyle w:val="ListParagraph"/>
        <w:numPr>
          <w:ilvl w:val="0"/>
          <w:numId w:val="29"/>
        </w:numPr>
        <w:rPr>
          <w:lang w:val="en-US"/>
        </w:rPr>
      </w:pPr>
      <w:r w:rsidRPr="00A8794C">
        <w:rPr>
          <w:rFonts w:eastAsia="SimSun"/>
          <w:lang w:eastAsia="zh-CN"/>
        </w:rPr>
        <w:t>To evaluate the need of developing new activities/work item to enable the “Virtualized Experience” in Cloud Computing</w:t>
      </w:r>
    </w:p>
    <w:p w:rsidR="00781F55" w:rsidRDefault="00132982" w:rsidP="00BD6109">
      <w:pPr>
        <w:jc w:val="both"/>
        <w:rPr>
          <w:lang w:val="en-US"/>
        </w:rPr>
      </w:pPr>
      <w:r>
        <w:rPr>
          <w:lang w:val="en-US"/>
        </w:rPr>
        <w:t xml:space="preserve">ATIS CSF’s main focus on </w:t>
      </w:r>
      <w:proofErr w:type="spellStart"/>
      <w:r w:rsidR="00781F55">
        <w:rPr>
          <w:lang w:val="en-US"/>
        </w:rPr>
        <w:t>Onboarding</w:t>
      </w:r>
      <w:proofErr w:type="spellEnd"/>
      <w:r w:rsidR="00781F55">
        <w:rPr>
          <w:lang w:val="en-US"/>
        </w:rPr>
        <w:t xml:space="preserve"> / </w:t>
      </w:r>
      <w:r>
        <w:rPr>
          <w:lang w:val="en-US"/>
        </w:rPr>
        <w:t>Ch</w:t>
      </w:r>
      <w:r w:rsidR="00781F55">
        <w:rPr>
          <w:lang w:val="en-US"/>
        </w:rPr>
        <w:t>ecklist is aligned with OMA’s need of the development and support of Cloud Computing related O&amp;M functionality with OMA enablers.</w:t>
      </w:r>
    </w:p>
    <w:p w:rsidR="00781F55" w:rsidRDefault="00781F55" w:rsidP="00BD6109">
      <w:pPr>
        <w:jc w:val="both"/>
        <w:rPr>
          <w:lang w:val="en-US"/>
        </w:rPr>
      </w:pPr>
      <w:r>
        <w:rPr>
          <w:lang w:val="en-US"/>
        </w:rPr>
        <w:t xml:space="preserve">ATIS CSF’s main focus on Charging well matches </w:t>
      </w:r>
      <w:proofErr w:type="spellStart"/>
      <w:r>
        <w:rPr>
          <w:lang w:val="en-US"/>
        </w:rPr>
        <w:t>OMA’e</w:t>
      </w:r>
      <w:proofErr w:type="spellEnd"/>
      <w:r>
        <w:rPr>
          <w:lang w:val="en-US"/>
        </w:rPr>
        <w:t xml:space="preserve"> need of extending OMA’s Mobile Commerce and Charging area.</w:t>
      </w:r>
    </w:p>
    <w:p w:rsidR="00781F55" w:rsidRDefault="00781F55" w:rsidP="00BD6109">
      <w:pPr>
        <w:jc w:val="both"/>
        <w:rPr>
          <w:lang w:val="en-US"/>
        </w:rPr>
      </w:pPr>
      <w:r>
        <w:rPr>
          <w:lang w:val="en-US"/>
        </w:rPr>
        <w:t>More importantly, ATIS CSF’s main focus on VDI is consistent with OMA</w:t>
      </w:r>
      <w:r w:rsidR="00BD6109">
        <w:rPr>
          <w:lang w:val="en-US"/>
        </w:rPr>
        <w:t>’s newly approved work item</w:t>
      </w:r>
      <w:r w:rsidR="005A05D7">
        <w:rPr>
          <w:lang w:val="en-US"/>
        </w:rPr>
        <w:t xml:space="preserve"> WID 220 “Unified Virtual Experience”</w:t>
      </w:r>
      <w:r w:rsidR="00BD6109">
        <w:rPr>
          <w:lang w:val="en-US"/>
        </w:rPr>
        <w:t xml:space="preserve"> to enable the </w:t>
      </w:r>
      <w:r w:rsidR="00BD6109" w:rsidRPr="00A8794C">
        <w:rPr>
          <w:rFonts w:eastAsia="SimSun"/>
          <w:lang w:eastAsia="zh-CN"/>
        </w:rPr>
        <w:t>“Virtualized Experience” in Cloud Computing</w:t>
      </w:r>
      <w:r w:rsidR="00BD6109">
        <w:rPr>
          <w:rFonts w:eastAsia="SimSun"/>
          <w:lang w:eastAsia="zh-CN"/>
        </w:rPr>
        <w:t>.</w:t>
      </w:r>
    </w:p>
    <w:p w:rsidR="00AF4C28" w:rsidRPr="00B27112" w:rsidRDefault="00BD6109" w:rsidP="004B2965">
      <w:pPr>
        <w:jc w:val="both"/>
        <w:rPr>
          <w:lang w:val="en-US"/>
        </w:rPr>
      </w:pPr>
      <w:r>
        <w:rPr>
          <w:lang w:val="en-US"/>
        </w:rPr>
        <w:t>Since ATIS is delivering the requirement while OMA has the expertise to develop the technical specification,</w:t>
      </w:r>
      <w:r w:rsidR="00132982">
        <w:rPr>
          <w:lang w:val="en-US"/>
        </w:rPr>
        <w:t xml:space="preserve"> it is recommended that OMA and A</w:t>
      </w:r>
      <w:r w:rsidR="008D4286">
        <w:rPr>
          <w:lang w:val="en-US"/>
        </w:rPr>
        <w:t>TIS CSF collaborate on those three</w:t>
      </w:r>
      <w:r w:rsidR="00132982">
        <w:rPr>
          <w:lang w:val="en-US"/>
        </w:rPr>
        <w:t xml:space="preserve"> areas.</w:t>
      </w: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326" w:rsidRDefault="00756326">
      <w:r>
        <w:separator/>
      </w:r>
    </w:p>
  </w:endnote>
  <w:endnote w:type="continuationSeparator" w:id="0">
    <w:p w:rsidR="00756326" w:rsidRDefault="00756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65254A">
      <w:rPr>
        <w:rStyle w:val="PageNumber"/>
        <w:sz w:val="18"/>
      </w:rPr>
      <w:fldChar w:fldCharType="begin"/>
    </w:r>
    <w:r w:rsidR="00CA5639">
      <w:rPr>
        <w:rStyle w:val="PageNumber"/>
        <w:sz w:val="18"/>
      </w:rPr>
      <w:instrText xml:space="preserve"> PAGE </w:instrText>
    </w:r>
    <w:r w:rsidR="0065254A">
      <w:rPr>
        <w:rStyle w:val="PageNumber"/>
        <w:sz w:val="18"/>
      </w:rPr>
      <w:fldChar w:fldCharType="separate"/>
    </w:r>
    <w:r w:rsidR="006205EE">
      <w:rPr>
        <w:rStyle w:val="PageNumber"/>
        <w:noProof/>
        <w:sz w:val="18"/>
      </w:rPr>
      <w:t>7</w:t>
    </w:r>
    <w:r w:rsidR="0065254A">
      <w:rPr>
        <w:rStyle w:val="PageNumber"/>
        <w:sz w:val="18"/>
      </w:rPr>
      <w:fldChar w:fldCharType="end"/>
    </w:r>
    <w:r w:rsidR="00CA5639">
      <w:rPr>
        <w:rStyle w:val="PageNumber"/>
        <w:sz w:val="18"/>
      </w:rPr>
      <w:t xml:space="preserve"> (of </w:t>
    </w:r>
    <w:r w:rsidR="0065254A">
      <w:rPr>
        <w:rStyle w:val="PageNumber"/>
        <w:sz w:val="18"/>
      </w:rPr>
      <w:fldChar w:fldCharType="begin"/>
    </w:r>
    <w:r w:rsidR="00CA5639">
      <w:rPr>
        <w:rStyle w:val="PageNumber"/>
        <w:sz w:val="18"/>
      </w:rPr>
      <w:instrText xml:space="preserve"> NUMPAGES </w:instrText>
    </w:r>
    <w:r w:rsidR="0065254A">
      <w:rPr>
        <w:rStyle w:val="PageNumber"/>
        <w:sz w:val="18"/>
      </w:rPr>
      <w:fldChar w:fldCharType="separate"/>
    </w:r>
    <w:r w:rsidR="006205EE">
      <w:rPr>
        <w:rStyle w:val="PageNumber"/>
        <w:noProof/>
        <w:sz w:val="18"/>
      </w:rPr>
      <w:t>9</w:t>
    </w:r>
    <w:r w:rsidR="0065254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5254A">
      <w:rPr>
        <w:sz w:val="18"/>
      </w:rPr>
      <w:fldChar w:fldCharType="begin"/>
    </w:r>
    <w:r w:rsidR="00CA5639">
      <w:rPr>
        <w:rStyle w:val="PageNumber"/>
        <w:sz w:val="18"/>
      </w:rPr>
      <w:instrText xml:space="preserve"> REF Template \h </w:instrText>
    </w:r>
    <w:r w:rsidR="0065254A">
      <w:rPr>
        <w:sz w:val="18"/>
      </w:rPr>
    </w:r>
    <w:r w:rsidR="0065254A">
      <w:rPr>
        <w:sz w:val="18"/>
      </w:rPr>
      <w:fldChar w:fldCharType="separate"/>
    </w:r>
    <w:r w:rsidR="000D0D34">
      <w:rPr>
        <w:color w:val="999999"/>
        <w:sz w:val="10"/>
      </w:rPr>
      <w:t>[OMA-Template-ChangeRequest-20110101-I]</w:t>
    </w:r>
    <w:r w:rsidR="0065254A">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65254A">
      <w:rPr>
        <w:rStyle w:val="PageNumber"/>
        <w:sz w:val="18"/>
      </w:rPr>
      <w:fldChar w:fldCharType="begin"/>
    </w:r>
    <w:r w:rsidR="00CA5639">
      <w:rPr>
        <w:rStyle w:val="PageNumber"/>
        <w:sz w:val="18"/>
      </w:rPr>
      <w:instrText xml:space="preserve"> PAGE </w:instrText>
    </w:r>
    <w:r w:rsidR="0065254A">
      <w:rPr>
        <w:rStyle w:val="PageNumber"/>
        <w:sz w:val="18"/>
      </w:rPr>
      <w:fldChar w:fldCharType="separate"/>
    </w:r>
    <w:r w:rsidR="006205EE">
      <w:rPr>
        <w:rStyle w:val="PageNumber"/>
        <w:noProof/>
        <w:sz w:val="18"/>
      </w:rPr>
      <w:t>1</w:t>
    </w:r>
    <w:r w:rsidR="0065254A">
      <w:rPr>
        <w:rStyle w:val="PageNumber"/>
        <w:sz w:val="18"/>
      </w:rPr>
      <w:fldChar w:fldCharType="end"/>
    </w:r>
    <w:r w:rsidR="00CA5639">
      <w:rPr>
        <w:rStyle w:val="PageNumber"/>
        <w:sz w:val="18"/>
      </w:rPr>
      <w:t xml:space="preserve"> (of </w:t>
    </w:r>
    <w:r w:rsidR="0065254A">
      <w:rPr>
        <w:rStyle w:val="PageNumber"/>
        <w:sz w:val="18"/>
      </w:rPr>
      <w:fldChar w:fldCharType="begin"/>
    </w:r>
    <w:r w:rsidR="00CA5639">
      <w:rPr>
        <w:rStyle w:val="PageNumber"/>
        <w:sz w:val="18"/>
      </w:rPr>
      <w:instrText xml:space="preserve"> NUMPAGES </w:instrText>
    </w:r>
    <w:r w:rsidR="0065254A">
      <w:rPr>
        <w:rStyle w:val="PageNumber"/>
        <w:sz w:val="18"/>
      </w:rPr>
      <w:fldChar w:fldCharType="separate"/>
    </w:r>
    <w:r w:rsidR="006205EE">
      <w:rPr>
        <w:rStyle w:val="PageNumber"/>
        <w:noProof/>
        <w:sz w:val="18"/>
      </w:rPr>
      <w:t>9</w:t>
    </w:r>
    <w:r w:rsidR="0065254A">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[OMA-Template-ChangeRequest-2011</w:t>
    </w:r>
    <w:r w:rsidR="00411A36">
      <w:rPr>
        <w:color w:val="999999"/>
        <w:sz w:val="10"/>
      </w:rPr>
      <w:t>0101</w:t>
    </w:r>
    <w:r w:rsidR="00CA5639">
      <w:rPr>
        <w:color w:val="999999"/>
        <w:sz w:val="10"/>
      </w:rPr>
      <w:t>-I]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326" w:rsidRDefault="00756326">
      <w:r>
        <w:separator/>
      </w:r>
    </w:p>
  </w:footnote>
  <w:footnote w:type="continuationSeparator" w:id="0">
    <w:p w:rsidR="00756326" w:rsidRDefault="007563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5254A">
      <w:rPr>
        <w:sz w:val="18"/>
        <w:lang w:val="nl-BE"/>
      </w:rPr>
      <w:fldChar w:fldCharType="begin"/>
    </w:r>
    <w:r w:rsidR="00ED7C36">
      <w:rPr>
        <w:sz w:val="18"/>
        <w:lang w:val="nl-BE"/>
      </w:rPr>
      <w:instrText xml:space="preserve"> FILENAME </w:instrText>
    </w:r>
    <w:r w:rsidR="0065254A">
      <w:rPr>
        <w:sz w:val="18"/>
        <w:lang w:val="nl-BE"/>
      </w:rPr>
      <w:fldChar w:fldCharType="separate"/>
    </w:r>
    <w:r w:rsidR="00D10646">
      <w:rPr>
        <w:noProof/>
        <w:sz w:val="18"/>
        <w:lang w:val="nl-BE"/>
      </w:rPr>
      <w:t>OMA-BOD-CLOUD-2011-0058</w:t>
    </w:r>
    <w:r w:rsidR="00020BF1">
      <w:rPr>
        <w:noProof/>
        <w:sz w:val="18"/>
        <w:lang w:val="nl-BE"/>
      </w:rPr>
      <w:t>R01</w:t>
    </w:r>
    <w:r w:rsidR="000D0D34">
      <w:rPr>
        <w:noProof/>
        <w:sz w:val="18"/>
        <w:lang w:val="nl-BE"/>
      </w:rPr>
      <w:t>-CR_ATIS_CSF.docx</w:t>
    </w:r>
    <w:r w:rsidR="0065254A">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5254A">
      <w:rPr>
        <w:sz w:val="18"/>
        <w:lang w:val="nl-BE"/>
      </w:rPr>
      <w:fldChar w:fldCharType="begin"/>
    </w:r>
    <w:r>
      <w:rPr>
        <w:sz w:val="18"/>
        <w:lang w:val="nl-BE"/>
      </w:rPr>
      <w:instrText xml:space="preserve"> FILENAME </w:instrText>
    </w:r>
    <w:r w:rsidR="0065254A">
      <w:rPr>
        <w:sz w:val="18"/>
        <w:lang w:val="nl-BE"/>
      </w:rPr>
      <w:fldChar w:fldCharType="separate"/>
    </w:r>
    <w:r w:rsidR="00D10646">
      <w:rPr>
        <w:noProof/>
        <w:sz w:val="18"/>
        <w:lang w:val="nl-BE"/>
      </w:rPr>
      <w:t>OMA-BOD-CLOUD-2011-0058</w:t>
    </w:r>
    <w:r w:rsidR="00020BF1">
      <w:rPr>
        <w:noProof/>
        <w:sz w:val="18"/>
        <w:lang w:val="nl-BE"/>
      </w:rPr>
      <w:t>R01</w:t>
    </w:r>
    <w:r w:rsidR="000D0D34">
      <w:rPr>
        <w:noProof/>
        <w:sz w:val="18"/>
        <w:lang w:val="nl-BE"/>
      </w:rPr>
      <w:t>-CR_ATIS_CSF.docx</w:t>
    </w:r>
    <w:r w:rsidR="0065254A">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3">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13"/>
  </w:num>
  <w:num w:numId="4">
    <w:abstractNumId w:val="6"/>
  </w:num>
  <w:num w:numId="5">
    <w:abstractNumId w:val="10"/>
  </w:num>
  <w:num w:numId="6">
    <w:abstractNumId w:val="24"/>
  </w:num>
  <w:num w:numId="7">
    <w:abstractNumId w:val="27"/>
  </w:num>
  <w:num w:numId="8">
    <w:abstractNumId w:val="12"/>
  </w:num>
  <w:num w:numId="9">
    <w:abstractNumId w:val="2"/>
  </w:num>
  <w:num w:numId="10">
    <w:abstractNumId w:val="26"/>
  </w:num>
  <w:num w:numId="11">
    <w:abstractNumId w:val="20"/>
  </w:num>
  <w:num w:numId="12">
    <w:abstractNumId w:val="16"/>
  </w:num>
  <w:num w:numId="13">
    <w:abstractNumId w:val="18"/>
  </w:num>
  <w:num w:numId="14">
    <w:abstractNumId w:val="5"/>
  </w:num>
  <w:num w:numId="15">
    <w:abstractNumId w:val="1"/>
  </w:num>
  <w:num w:numId="16">
    <w:abstractNumId w:val="15"/>
  </w:num>
  <w:num w:numId="17">
    <w:abstractNumId w:val="23"/>
  </w:num>
  <w:num w:numId="18">
    <w:abstractNumId w:val="28"/>
  </w:num>
  <w:num w:numId="19">
    <w:abstractNumId w:val="19"/>
  </w:num>
  <w:num w:numId="20">
    <w:abstractNumId w:val="25"/>
  </w:num>
  <w:num w:numId="21">
    <w:abstractNumId w:val="22"/>
  </w:num>
  <w:num w:numId="22">
    <w:abstractNumId w:val="8"/>
  </w:num>
  <w:num w:numId="23">
    <w:abstractNumId w:val="3"/>
  </w:num>
  <w:num w:numId="24">
    <w:abstractNumId w:val="14"/>
  </w:num>
  <w:num w:numId="25">
    <w:abstractNumId w:val="7"/>
  </w:num>
  <w:num w:numId="26">
    <w:abstractNumId w:val="0"/>
  </w:num>
  <w:num w:numId="27">
    <w:abstractNumId w:val="4"/>
  </w:num>
  <w:num w:numId="28">
    <w:abstractNumId w:val="9"/>
  </w:num>
  <w:num w:numId="29">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62466"/>
  </w:hdrShapeDefaults>
  <w:footnotePr>
    <w:footnote w:id="-1"/>
    <w:footnote w:id="0"/>
  </w:footnotePr>
  <w:endnotePr>
    <w:endnote w:id="-1"/>
    <w:endnote w:id="0"/>
  </w:endnotePr>
  <w:compat>
    <w:useFELayout/>
  </w:compat>
  <w:rsids>
    <w:rsidRoot w:val="00E15272"/>
    <w:rsid w:val="00007CDD"/>
    <w:rsid w:val="00020BF1"/>
    <w:rsid w:val="00022510"/>
    <w:rsid w:val="00025332"/>
    <w:rsid w:val="00041AF8"/>
    <w:rsid w:val="00045830"/>
    <w:rsid w:val="000604ED"/>
    <w:rsid w:val="00061EBD"/>
    <w:rsid w:val="000700B5"/>
    <w:rsid w:val="000821AD"/>
    <w:rsid w:val="0008292B"/>
    <w:rsid w:val="00086744"/>
    <w:rsid w:val="00092BAE"/>
    <w:rsid w:val="000C07FC"/>
    <w:rsid w:val="000C76C8"/>
    <w:rsid w:val="000D0D34"/>
    <w:rsid w:val="000E4B24"/>
    <w:rsid w:val="0010236A"/>
    <w:rsid w:val="00110A57"/>
    <w:rsid w:val="00113101"/>
    <w:rsid w:val="00125E03"/>
    <w:rsid w:val="001309DF"/>
    <w:rsid w:val="00131DDF"/>
    <w:rsid w:val="00132982"/>
    <w:rsid w:val="001545CB"/>
    <w:rsid w:val="00162362"/>
    <w:rsid w:val="0017795B"/>
    <w:rsid w:val="0018517D"/>
    <w:rsid w:val="00192EDE"/>
    <w:rsid w:val="00194BDA"/>
    <w:rsid w:val="001A2D39"/>
    <w:rsid w:val="001C16B7"/>
    <w:rsid w:val="001F1A83"/>
    <w:rsid w:val="00205716"/>
    <w:rsid w:val="00215CF2"/>
    <w:rsid w:val="00223153"/>
    <w:rsid w:val="00225EA5"/>
    <w:rsid w:val="00237C74"/>
    <w:rsid w:val="00237FB8"/>
    <w:rsid w:val="00243AA7"/>
    <w:rsid w:val="0025569C"/>
    <w:rsid w:val="00264587"/>
    <w:rsid w:val="00294D5B"/>
    <w:rsid w:val="00295BA1"/>
    <w:rsid w:val="002A5EE9"/>
    <w:rsid w:val="002B08D4"/>
    <w:rsid w:val="002B179A"/>
    <w:rsid w:val="002B405E"/>
    <w:rsid w:val="002C63FD"/>
    <w:rsid w:val="002D24AA"/>
    <w:rsid w:val="002F3818"/>
    <w:rsid w:val="003041C5"/>
    <w:rsid w:val="003067C8"/>
    <w:rsid w:val="00316532"/>
    <w:rsid w:val="00322FE2"/>
    <w:rsid w:val="0032782A"/>
    <w:rsid w:val="00336648"/>
    <w:rsid w:val="0034531B"/>
    <w:rsid w:val="00357E4C"/>
    <w:rsid w:val="00364BAF"/>
    <w:rsid w:val="00371493"/>
    <w:rsid w:val="0038165A"/>
    <w:rsid w:val="003A1EB7"/>
    <w:rsid w:val="003C5326"/>
    <w:rsid w:val="003C585F"/>
    <w:rsid w:val="003F06DA"/>
    <w:rsid w:val="003F0B7E"/>
    <w:rsid w:val="00403DD4"/>
    <w:rsid w:val="00411A36"/>
    <w:rsid w:val="004160F3"/>
    <w:rsid w:val="0041681F"/>
    <w:rsid w:val="00421C39"/>
    <w:rsid w:val="004265B4"/>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B6754"/>
    <w:rsid w:val="004C09AE"/>
    <w:rsid w:val="004D1B8B"/>
    <w:rsid w:val="004D271C"/>
    <w:rsid w:val="004D2D2C"/>
    <w:rsid w:val="004F0E47"/>
    <w:rsid w:val="004F4548"/>
    <w:rsid w:val="004F47F7"/>
    <w:rsid w:val="004F77B6"/>
    <w:rsid w:val="00510803"/>
    <w:rsid w:val="00516FEC"/>
    <w:rsid w:val="00527673"/>
    <w:rsid w:val="00532394"/>
    <w:rsid w:val="00532EA1"/>
    <w:rsid w:val="0053412B"/>
    <w:rsid w:val="00546F3B"/>
    <w:rsid w:val="00551051"/>
    <w:rsid w:val="005552D2"/>
    <w:rsid w:val="0056750F"/>
    <w:rsid w:val="005849EB"/>
    <w:rsid w:val="00590DCF"/>
    <w:rsid w:val="005A05D7"/>
    <w:rsid w:val="005A2F3C"/>
    <w:rsid w:val="005A3A00"/>
    <w:rsid w:val="005B1CFA"/>
    <w:rsid w:val="005D660C"/>
    <w:rsid w:val="005F25DD"/>
    <w:rsid w:val="005F272C"/>
    <w:rsid w:val="0060606F"/>
    <w:rsid w:val="00616BD7"/>
    <w:rsid w:val="006205EE"/>
    <w:rsid w:val="00626387"/>
    <w:rsid w:val="00640938"/>
    <w:rsid w:val="0065254A"/>
    <w:rsid w:val="006735F4"/>
    <w:rsid w:val="006759D8"/>
    <w:rsid w:val="00691A95"/>
    <w:rsid w:val="006970C2"/>
    <w:rsid w:val="0069722D"/>
    <w:rsid w:val="00697269"/>
    <w:rsid w:val="006C4892"/>
    <w:rsid w:val="006D4F50"/>
    <w:rsid w:val="006D6BE8"/>
    <w:rsid w:val="006D7832"/>
    <w:rsid w:val="006F192B"/>
    <w:rsid w:val="006F39F2"/>
    <w:rsid w:val="007078FA"/>
    <w:rsid w:val="00712280"/>
    <w:rsid w:val="007155C1"/>
    <w:rsid w:val="00756326"/>
    <w:rsid w:val="00767C26"/>
    <w:rsid w:val="00780AC7"/>
    <w:rsid w:val="00781F55"/>
    <w:rsid w:val="0079123C"/>
    <w:rsid w:val="007B190F"/>
    <w:rsid w:val="007B4D86"/>
    <w:rsid w:val="007B66E3"/>
    <w:rsid w:val="007B6976"/>
    <w:rsid w:val="007C0C19"/>
    <w:rsid w:val="007C26EC"/>
    <w:rsid w:val="007D064E"/>
    <w:rsid w:val="007D212E"/>
    <w:rsid w:val="007F2244"/>
    <w:rsid w:val="007F2F19"/>
    <w:rsid w:val="007F504C"/>
    <w:rsid w:val="008103F4"/>
    <w:rsid w:val="008160B7"/>
    <w:rsid w:val="0082248D"/>
    <w:rsid w:val="00822F1B"/>
    <w:rsid w:val="008252EB"/>
    <w:rsid w:val="00831C93"/>
    <w:rsid w:val="00841517"/>
    <w:rsid w:val="008505D5"/>
    <w:rsid w:val="00861BDA"/>
    <w:rsid w:val="0088287B"/>
    <w:rsid w:val="00883105"/>
    <w:rsid w:val="00892E91"/>
    <w:rsid w:val="008B5577"/>
    <w:rsid w:val="008B6434"/>
    <w:rsid w:val="008B7111"/>
    <w:rsid w:val="008C2207"/>
    <w:rsid w:val="008D4286"/>
    <w:rsid w:val="008F5B17"/>
    <w:rsid w:val="00903358"/>
    <w:rsid w:val="009208C0"/>
    <w:rsid w:val="00930AF1"/>
    <w:rsid w:val="0095250B"/>
    <w:rsid w:val="0096346F"/>
    <w:rsid w:val="009756C9"/>
    <w:rsid w:val="00984014"/>
    <w:rsid w:val="00986EAC"/>
    <w:rsid w:val="009A29C4"/>
    <w:rsid w:val="009C4D9C"/>
    <w:rsid w:val="009D5FBF"/>
    <w:rsid w:val="009D75CD"/>
    <w:rsid w:val="009E07AE"/>
    <w:rsid w:val="009E3AAF"/>
    <w:rsid w:val="009E4E8F"/>
    <w:rsid w:val="009F4DC4"/>
    <w:rsid w:val="00A15715"/>
    <w:rsid w:val="00A32B8E"/>
    <w:rsid w:val="00A44D90"/>
    <w:rsid w:val="00A5177B"/>
    <w:rsid w:val="00A537AC"/>
    <w:rsid w:val="00A601F5"/>
    <w:rsid w:val="00A85888"/>
    <w:rsid w:val="00A86ACA"/>
    <w:rsid w:val="00A945A9"/>
    <w:rsid w:val="00AA53C4"/>
    <w:rsid w:val="00AB177C"/>
    <w:rsid w:val="00AB6502"/>
    <w:rsid w:val="00AD3073"/>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5538F"/>
    <w:rsid w:val="00B61062"/>
    <w:rsid w:val="00B6357E"/>
    <w:rsid w:val="00BB09CA"/>
    <w:rsid w:val="00BB4979"/>
    <w:rsid w:val="00BC1673"/>
    <w:rsid w:val="00BD6109"/>
    <w:rsid w:val="00BF3BBB"/>
    <w:rsid w:val="00C038A3"/>
    <w:rsid w:val="00C10DB9"/>
    <w:rsid w:val="00C10EDC"/>
    <w:rsid w:val="00C11F8E"/>
    <w:rsid w:val="00C30CE0"/>
    <w:rsid w:val="00C40A8E"/>
    <w:rsid w:val="00C446CB"/>
    <w:rsid w:val="00C57C50"/>
    <w:rsid w:val="00C66FBD"/>
    <w:rsid w:val="00C9198B"/>
    <w:rsid w:val="00CA1D95"/>
    <w:rsid w:val="00CA5639"/>
    <w:rsid w:val="00CB4E35"/>
    <w:rsid w:val="00CE06C2"/>
    <w:rsid w:val="00CE31B8"/>
    <w:rsid w:val="00D05E12"/>
    <w:rsid w:val="00D10646"/>
    <w:rsid w:val="00D1411D"/>
    <w:rsid w:val="00D22E1C"/>
    <w:rsid w:val="00D30904"/>
    <w:rsid w:val="00D34D1B"/>
    <w:rsid w:val="00D44849"/>
    <w:rsid w:val="00D45494"/>
    <w:rsid w:val="00D63DC5"/>
    <w:rsid w:val="00D74D47"/>
    <w:rsid w:val="00D76D96"/>
    <w:rsid w:val="00D774E2"/>
    <w:rsid w:val="00D85E29"/>
    <w:rsid w:val="00D8705E"/>
    <w:rsid w:val="00D932EC"/>
    <w:rsid w:val="00D9676E"/>
    <w:rsid w:val="00DA155F"/>
    <w:rsid w:val="00DA4DEE"/>
    <w:rsid w:val="00DA5838"/>
    <w:rsid w:val="00DA5965"/>
    <w:rsid w:val="00DA76C1"/>
    <w:rsid w:val="00DC23D0"/>
    <w:rsid w:val="00DD30B3"/>
    <w:rsid w:val="00DD47D2"/>
    <w:rsid w:val="00DE6300"/>
    <w:rsid w:val="00DF2CDE"/>
    <w:rsid w:val="00E06737"/>
    <w:rsid w:val="00E15272"/>
    <w:rsid w:val="00E2440E"/>
    <w:rsid w:val="00E270B6"/>
    <w:rsid w:val="00E526EC"/>
    <w:rsid w:val="00E53D0C"/>
    <w:rsid w:val="00E5424C"/>
    <w:rsid w:val="00E6526A"/>
    <w:rsid w:val="00E74C1B"/>
    <w:rsid w:val="00E919B3"/>
    <w:rsid w:val="00EA578D"/>
    <w:rsid w:val="00EA5FF0"/>
    <w:rsid w:val="00EB3314"/>
    <w:rsid w:val="00EC2F85"/>
    <w:rsid w:val="00EC4E83"/>
    <w:rsid w:val="00ED7C36"/>
    <w:rsid w:val="00EE106A"/>
    <w:rsid w:val="00EF63EB"/>
    <w:rsid w:val="00EF6D43"/>
    <w:rsid w:val="00F040F3"/>
    <w:rsid w:val="00F140E6"/>
    <w:rsid w:val="00F74740"/>
    <w:rsid w:val="00F8181A"/>
    <w:rsid w:val="00F97B97"/>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character" w:customStyle="1" w:styleId="CommentTextChar">
    <w:name w:val="Comment Text Char"/>
    <w:basedOn w:val="DefaultParagraphFont"/>
    <w:link w:val="CommentText"/>
    <w:semiHidden/>
    <w:rsid w:val="006205EE"/>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manning@huawei.com" TargetMode="External"/><Relationship Id="rId13" Type="http://schemas.openxmlformats.org/officeDocument/2006/relationships/package" Target="embeddings/Microsoft_Office_PowerPoint_Slide2.sldx"/><Relationship Id="rId18" Type="http://schemas.openxmlformats.org/officeDocument/2006/relationships/image" Target="media/image8.emf"/><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bin.hu@huawei.com" TargetMode="External"/><Relationship Id="rId12" Type="http://schemas.openxmlformats.org/officeDocument/2006/relationships/image" Target="media/image3.emf"/><Relationship Id="rId17" Type="http://schemas.openxmlformats.org/officeDocument/2006/relationships/image" Target="media/image7.emf"/><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Office_PowerPoint_Slide1.sldx"/><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4.png"/><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275</TotalTime>
  <Pages>9</Pages>
  <Words>2617</Words>
  <Characters>14917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17500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144</cp:revision>
  <cp:lastPrinted>2005-07-28T17:49:00Z</cp:lastPrinted>
  <dcterms:created xsi:type="dcterms:W3CDTF">2011-03-31T13:36:00Z</dcterms:created>
  <dcterms:modified xsi:type="dcterms:W3CDTF">2011-06-22T19:23:00Z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1308770212</vt:lpwstr>
  </property>
</Properties>
</file>