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CA52A8" w:rsidP="00CA52A8">
            <w:pPr>
              <w:pStyle w:val="FrontMatter"/>
              <w:tabs>
                <w:tab w:val="clear" w:pos="1710"/>
                <w:tab w:val="clear" w:pos="3780"/>
              </w:tabs>
              <w:ind w:left="0" w:firstLine="0"/>
            </w:pPr>
            <w:r>
              <w:t>Enhance OMA API Capabilities</w:t>
            </w:r>
          </w:p>
        </w:tc>
        <w:tc>
          <w:tcPr>
            <w:tcW w:w="2880" w:type="dxa"/>
          </w:tcPr>
          <w:p w:rsidR="00E15272" w:rsidRDefault="005E0F48">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774E2" w:rsidP="00D774E2">
            <w:pPr>
              <w:pStyle w:val="FrontMatter"/>
              <w:tabs>
                <w:tab w:val="clear" w:pos="1710"/>
                <w:tab w:val="clear" w:pos="3780"/>
              </w:tabs>
              <w:ind w:left="0" w:firstLine="0"/>
            </w:pPr>
            <w:r>
              <w:t>Cloud Computing Task F</w:t>
            </w:r>
            <w:r w:rsidR="00A537AC">
              <w:t>orce</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A537AC" w:rsidP="008C2207">
            <w:pPr>
              <w:pStyle w:val="FrontMatter"/>
              <w:tabs>
                <w:tab w:val="clear" w:pos="1710"/>
                <w:tab w:val="clear" w:pos="3780"/>
              </w:tabs>
              <w:ind w:left="0" w:firstLine="0"/>
            </w:pPr>
            <w:r w:rsidRPr="003B6835">
              <w:rPr>
                <w:rStyle w:val="ZDONTMODIFY"/>
                <w:rFonts w:cs="Arial"/>
                <w:szCs w:val="32"/>
                <w:lang w:val="en-US"/>
              </w:rPr>
              <w:t>OMA-WP-</w:t>
            </w:r>
            <w:r>
              <w:rPr>
                <w:rFonts w:cs="Arial"/>
                <w:szCs w:val="32"/>
              </w:rPr>
              <w:t>Cloud</w:t>
            </w:r>
            <w:r w:rsidRPr="003B6835">
              <w:rPr>
                <w:rFonts w:cs="Arial"/>
                <w:szCs w:val="32"/>
              </w:rPr>
              <w:t>_</w:t>
            </w:r>
            <w:r>
              <w:rPr>
                <w:rFonts w:cs="Arial"/>
                <w:szCs w:val="32"/>
              </w:rPr>
              <w:t>Computing</w:t>
            </w:r>
            <w:r w:rsidR="004F47F7">
              <w:rPr>
                <w:rFonts w:cs="Arial"/>
                <w:szCs w:val="32"/>
              </w:rPr>
              <w:t>_V2_0</w:t>
            </w:r>
            <w:r w:rsidRPr="003B6835">
              <w:rPr>
                <w:rStyle w:val="ZDONTMODIFY"/>
                <w:rFonts w:cs="Arial"/>
                <w:szCs w:val="32"/>
                <w:lang w:val="en-US"/>
              </w:rPr>
              <w:t>-</w:t>
            </w:r>
            <w:r w:rsidRPr="003B6835">
              <w:rPr>
                <w:rStyle w:val="ZMODIFY"/>
                <w:rFonts w:cs="Arial"/>
                <w:szCs w:val="32"/>
                <w:lang w:val="en-US"/>
              </w:rPr>
              <w:t>201</w:t>
            </w:r>
            <w:r>
              <w:rPr>
                <w:rStyle w:val="ZMODIFY"/>
                <w:rFonts w:cs="Arial"/>
                <w:szCs w:val="32"/>
                <w:lang w:val="en-US"/>
              </w:rPr>
              <w:t>1</w:t>
            </w:r>
            <w:r w:rsidR="00A558F5">
              <w:rPr>
                <w:rStyle w:val="ZMODIFY"/>
                <w:rFonts w:cs="Arial"/>
                <w:szCs w:val="32"/>
                <w:lang w:val="en-US"/>
              </w:rPr>
              <w:t>1208</w:t>
            </w:r>
            <w:r w:rsidRPr="003B6835">
              <w:rPr>
                <w:rStyle w:val="ZMODIFY"/>
                <w:rFonts w:cs="Arial"/>
                <w:szCs w:val="32"/>
                <w:lang w:val="en-U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B666F7" w:rsidP="00A558F5">
            <w:pPr>
              <w:pStyle w:val="FrontMatter"/>
              <w:tabs>
                <w:tab w:val="clear" w:pos="1710"/>
                <w:tab w:val="clear" w:pos="3780"/>
              </w:tabs>
              <w:ind w:left="0" w:firstLine="0"/>
            </w:pPr>
            <w:r>
              <w:t>11</w:t>
            </w:r>
            <w:r w:rsidR="00264587">
              <w:t xml:space="preserve"> </w:t>
            </w:r>
            <w:r w:rsidR="00A558F5">
              <w:t>Feb</w:t>
            </w:r>
            <w:r w:rsidR="00264587">
              <w:t xml:space="preserve"> 201</w:t>
            </w:r>
            <w:r w:rsidR="00A558F5">
              <w:t>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5E0F48" w:rsidP="00CA52A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A558F5">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1"/>
                  </w:checkBox>
                </w:ffData>
              </w:fldChar>
            </w:r>
            <w:r w:rsidR="00CA52A8">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CA52A8">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AE73CC" w:rsidRPr="008C2207" w:rsidRDefault="00D774E2" w:rsidP="00C038A3">
            <w:pPr>
              <w:pStyle w:val="FrontMatter"/>
              <w:tabs>
                <w:tab w:val="clear" w:pos="1710"/>
                <w:tab w:val="clear" w:pos="3780"/>
              </w:tabs>
              <w:ind w:left="0" w:firstLine="0"/>
            </w:pPr>
            <w:r>
              <w:t>Bin Hu</w:t>
            </w:r>
            <w:r w:rsidR="00B37070">
              <w:t>, Huawei</w:t>
            </w:r>
            <w:r>
              <w:t xml:space="preserve"> Technologies, </w:t>
            </w:r>
            <w:hyperlink r:id="rId7" w:history="1">
              <w:r w:rsidRPr="00BD6B35">
                <w:rPr>
                  <w:rStyle w:val="Hyperlink"/>
                </w:rPr>
                <w:t>bin.hu@huawei.com</w:t>
              </w:r>
            </w:hyperlink>
            <w:r>
              <w:t xml:space="preserve"> </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E15272" w:rsidRDefault="00A537AC" w:rsidP="00A537AC">
      <w:pPr>
        <w:pStyle w:val="AltNormal"/>
      </w:pPr>
      <w:r>
        <w:t xml:space="preserve">This contribution </w:t>
      </w:r>
      <w:r w:rsidR="00A558F5">
        <w:t>cleans up the White Paper 2.0</w:t>
      </w:r>
      <w:r w:rsidR="0038165A">
        <w:t>.</w:t>
      </w:r>
    </w:p>
    <w:p w:rsidR="00E15272" w:rsidRDefault="00E15272">
      <w:pPr>
        <w:pStyle w:val="AltH1"/>
      </w:pPr>
      <w:r>
        <w:t>Impact on Backward Compatibility</w:t>
      </w:r>
    </w:p>
    <w:p w:rsidR="00E15272" w:rsidRDefault="00EB3314">
      <w:pPr>
        <w:pStyle w:val="AltNormal"/>
      </w:pPr>
      <w:r>
        <w:t>No impact</w:t>
      </w:r>
    </w:p>
    <w:p w:rsidR="00E15272" w:rsidRDefault="00E15272">
      <w:pPr>
        <w:pStyle w:val="AltH1"/>
      </w:pPr>
      <w:r>
        <w:t>Impact on Other Specifications</w:t>
      </w:r>
    </w:p>
    <w:p w:rsidR="00E15272" w:rsidRDefault="00EB3314" w:rsidP="00EB3314">
      <w:pPr>
        <w:pStyle w:val="AltNormal"/>
      </w:pPr>
      <w:r>
        <w:t>No other specifications are affected.</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CE31B8">
      <w:pPr>
        <w:pStyle w:val="AltNormal"/>
      </w:pPr>
      <w:r>
        <w:t>We rec</w:t>
      </w:r>
      <w:r w:rsidR="00527673">
        <w:t>ommend that changes</w:t>
      </w:r>
      <w:r>
        <w:t xml:space="preserve"> be </w:t>
      </w:r>
      <w:r w:rsidR="00527673">
        <w:t xml:space="preserve">accepted and </w:t>
      </w:r>
      <w:r>
        <w:t>incorporated into the white paper.</w:t>
      </w:r>
    </w:p>
    <w:p w:rsidR="00E15272" w:rsidRDefault="00E15272">
      <w:pPr>
        <w:pStyle w:val="AltH1"/>
      </w:pPr>
      <w:r>
        <w:t>Detailed Change Proposal</w:t>
      </w:r>
    </w:p>
    <w:p w:rsidR="00403DD4" w:rsidRDefault="00017E06" w:rsidP="00403DD4">
      <w:pPr>
        <w:pStyle w:val="AltChangeList"/>
      </w:pPr>
      <w:r>
        <w:t>Add 7.x OMA API Program</w:t>
      </w:r>
    </w:p>
    <w:p w:rsidR="00211A06" w:rsidRPr="00017E06" w:rsidRDefault="00017E06" w:rsidP="00017E06">
      <w:pPr>
        <w:pStyle w:val="Heading2"/>
        <w:numPr>
          <w:ilvl w:val="0"/>
          <w:numId w:val="0"/>
        </w:numPr>
        <w:ind w:left="864" w:hanging="864"/>
      </w:pPr>
      <w:bookmarkStart w:id="0" w:name="_Toc311148506"/>
      <w:r>
        <w:t>7.x OMA API Program</w:t>
      </w:r>
      <w:bookmarkEnd w:id="0"/>
    </w:p>
    <w:p w:rsidR="00DA56BC" w:rsidRDefault="006300A0" w:rsidP="005A2AE6">
      <w:pPr>
        <w:jc w:val="both"/>
      </w:pPr>
      <w:r w:rsidRPr="006300A0">
        <w:rPr>
          <w:bCs/>
        </w:rPr>
        <w:t>Platform as a Service (PaaS)</w:t>
      </w:r>
      <w:r w:rsidRPr="006300A0">
        <w:t xml:space="preserve"> </w:t>
      </w:r>
      <w:r>
        <w:t xml:space="preserve">of Cloud Computing is the delivery of a </w:t>
      </w:r>
      <w:r w:rsidRPr="00A60A17">
        <w:t>computing platform</w:t>
      </w:r>
      <w:r>
        <w:t xml:space="preserve"> and </w:t>
      </w:r>
      <w:r w:rsidRPr="00A60A17">
        <w:t>solution stack</w:t>
      </w:r>
      <w:r>
        <w:t xml:space="preserve"> as a service. PaaS offerings facilitate deployment of applications without the cost and complexity of buying and managing the underlying hardware and software and provisioning hosting capabilities, providing all of the facilities required to support the complete life cycle of building and delivering</w:t>
      </w:r>
      <w:r w:rsidRPr="00A60A17">
        <w:t xml:space="preserve"> applications</w:t>
      </w:r>
      <w:r>
        <w:t xml:space="preserve"> and </w:t>
      </w:r>
      <w:r w:rsidRPr="00A60A17">
        <w:t>services</w:t>
      </w:r>
      <w:r>
        <w:t xml:space="preserve"> entirely available from the network.</w:t>
      </w:r>
    </w:p>
    <w:p w:rsidR="00DA56BC" w:rsidRDefault="006300A0" w:rsidP="00DA56BC">
      <w:pPr>
        <w:jc w:val="both"/>
      </w:pPr>
      <w:r>
        <w:t xml:space="preserve">PaaS offerings also include facilities for application design, application development, testing, deployment and hosting as well as application services such as team collaboration, service integration and marshalling, database integration, security, </w:t>
      </w:r>
      <w:r>
        <w:lastRenderedPageBreak/>
        <w:t>scalability, storage, persistence, state management, application versioning, application instrumentation and developer community facilitation.</w:t>
      </w:r>
    </w:p>
    <w:p w:rsidR="00211A06" w:rsidRPr="00DA56BC" w:rsidRDefault="00257394" w:rsidP="00DA56BC">
      <w:pPr>
        <w:jc w:val="both"/>
      </w:pPr>
      <w:r>
        <w:t>One key element in PaaS offerings is the Application Programming Interfaces</w:t>
      </w:r>
      <w:r w:rsidR="006300A0" w:rsidRPr="00A60A17">
        <w:t xml:space="preserve"> </w:t>
      </w:r>
      <w:r>
        <w:t>(</w:t>
      </w:r>
      <w:r w:rsidR="006300A0">
        <w:t>APIs</w:t>
      </w:r>
      <w:r>
        <w:t>)</w:t>
      </w:r>
      <w:r w:rsidR="006300A0">
        <w:t xml:space="preserve"> </w:t>
      </w:r>
      <w:r>
        <w:t xml:space="preserve">that </w:t>
      </w:r>
      <w:r w:rsidR="005A2AE6">
        <w:t>enable the application development.</w:t>
      </w:r>
      <w:r w:rsidR="00DA56BC">
        <w:t xml:space="preserve"> </w:t>
      </w:r>
      <w:r w:rsidR="00A6162B" w:rsidRPr="00A6162B">
        <w:rPr>
          <w:lang w:val="en-US"/>
        </w:rPr>
        <w:t xml:space="preserve">OMA API Program has been producing API specifications </w:t>
      </w:r>
      <w:r w:rsidR="00A6162B" w:rsidRPr="00A6162B">
        <w:rPr>
          <w:lang w:val="en-US" w:eastAsia="zh-CN"/>
        </w:rPr>
        <w:t>for more than 40</w:t>
      </w:r>
      <w:r w:rsidR="00A6162B">
        <w:rPr>
          <w:lang w:val="en-US" w:eastAsia="zh-CN"/>
        </w:rPr>
        <w:t xml:space="preserve"> </w:t>
      </w:r>
      <w:r w:rsidR="00A6162B" w:rsidRPr="00A6162B">
        <w:rPr>
          <w:lang w:val="en-US" w:eastAsia="zh-CN"/>
        </w:rPr>
        <w:t>network and device resources, with various language and protocol bindings.</w:t>
      </w:r>
      <w:r w:rsidR="00800109">
        <w:rPr>
          <w:lang w:val="en-US" w:eastAsia="zh-CN"/>
        </w:rPr>
        <w:t xml:space="preserve"> C</w:t>
      </w:r>
      <w:r w:rsidR="00F7730D">
        <w:rPr>
          <w:lang w:val="en-US" w:eastAsia="zh-CN"/>
        </w:rPr>
        <w:t>urrent list of OMA APIs is shown in Figure x:</w:t>
      </w:r>
    </w:p>
    <w:p w:rsidR="00800109" w:rsidRPr="00531466" w:rsidRDefault="00531466" w:rsidP="00F7730D">
      <w:pPr>
        <w:jc w:val="center"/>
      </w:pPr>
      <w:r w:rsidRPr="00531466">
        <w:rPr>
          <w:noProof/>
          <w:lang w:val="en-US" w:eastAsia="zh-CN"/>
        </w:rPr>
        <w:drawing>
          <wp:inline distT="0" distB="0" distL="0" distR="0">
            <wp:extent cx="5936105" cy="2795665"/>
            <wp:effectExtent l="19050" t="0" r="7495" b="0"/>
            <wp:docPr id="2" name="Object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1453058" cy="5291191"/>
                      <a:chOff x="51370" y="842480"/>
                      <a:chExt cx="11453058" cy="5291191"/>
                    </a:xfrm>
                  </a:grpSpPr>
                  <a:sp>
                    <a:nvSpPr>
                      <a:cNvPr id="13" name="Vertical Scroll 12"/>
                      <a:cNvSpPr/>
                    </a:nvSpPr>
                    <a:spPr>
                      <a:xfrm>
                        <a:off x="51370" y="1361935"/>
                        <a:ext cx="3200396" cy="3970346"/>
                      </a:xfrm>
                      <a:prstGeom prst="verticalScroll">
                        <a:avLst/>
                      </a:prstGeom>
                      <a:gradFill>
                        <a:gsLst>
                          <a:gs pos="0">
                            <a:schemeClr val="accent1">
                              <a:tint val="100000"/>
                              <a:shade val="100000"/>
                              <a:satMod val="130000"/>
                            </a:schemeClr>
                          </a:gs>
                          <a:gs pos="100000">
                            <a:schemeClr val="accent1">
                              <a:tint val="50000"/>
                              <a:shade val="100000"/>
                              <a:satMod val="350000"/>
                            </a:schemeClr>
                          </a:gs>
                        </a:gsLst>
                        <a:lin ang="16200000" scaled="0"/>
                      </a:gradFill>
                      <a:ln>
                        <a:solidFill>
                          <a:schemeClr val="tx1"/>
                        </a:solidFill>
                      </a:ln>
                    </a:spPr>
                    <a:txSp>
                      <a:txBody>
                        <a:bodyPr rtlCol="0"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sp>
                    <a:nvSpPr>
                      <a:cNvPr id="14" name="TextBox 13"/>
                      <a:cNvSpPr txBox="1"/>
                    </a:nvSpPr>
                    <a:spPr>
                      <a:xfrm>
                        <a:off x="1068506" y="1413305"/>
                        <a:ext cx="2332234" cy="369332"/>
                      </a:xfrm>
                      <a:prstGeom prst="rect">
                        <a:avLst/>
                      </a:prstGeom>
                      <a:noFill/>
                    </a:spPr>
                    <a:txSp>
                      <a:txBody>
                        <a:bodyPr wrap="square" rtlCol="0">
                          <a:spAutoFit/>
                        </a:bodyPr>
                        <a:lstStyle>
                          <a:defPPr>
                            <a:defRPr lang="en-US"/>
                          </a:defPPr>
                          <a:lvl1pPr algn="l" defTabSz="457200" rtl="0" fontAlgn="base">
                            <a:spcBef>
                              <a:spcPct val="0"/>
                            </a:spcBef>
                            <a:spcAft>
                              <a:spcPct val="0"/>
                            </a:spcAft>
                            <a:defRPr kern="1200">
                              <a:solidFill>
                                <a:schemeClr val="tx1"/>
                              </a:solidFill>
                              <a:latin typeface="Arial" charset="0"/>
                              <a:ea typeface="+mn-ea"/>
                              <a:cs typeface="Arial" charset="0"/>
                            </a:defRPr>
                          </a:lvl1pPr>
                          <a:lvl2pPr marL="457200" algn="l" defTabSz="457200" rtl="0" fontAlgn="base">
                            <a:spcBef>
                              <a:spcPct val="0"/>
                            </a:spcBef>
                            <a:spcAft>
                              <a:spcPct val="0"/>
                            </a:spcAft>
                            <a:defRPr kern="1200">
                              <a:solidFill>
                                <a:schemeClr val="tx1"/>
                              </a:solidFill>
                              <a:latin typeface="Arial" charset="0"/>
                              <a:ea typeface="+mn-ea"/>
                              <a:cs typeface="Arial" charset="0"/>
                            </a:defRPr>
                          </a:lvl2pPr>
                          <a:lvl3pPr marL="914400" algn="l" defTabSz="457200" rtl="0" fontAlgn="base">
                            <a:spcBef>
                              <a:spcPct val="0"/>
                            </a:spcBef>
                            <a:spcAft>
                              <a:spcPct val="0"/>
                            </a:spcAft>
                            <a:defRPr kern="1200">
                              <a:solidFill>
                                <a:schemeClr val="tx1"/>
                              </a:solidFill>
                              <a:latin typeface="Arial" charset="0"/>
                              <a:ea typeface="+mn-ea"/>
                              <a:cs typeface="Arial" charset="0"/>
                            </a:defRPr>
                          </a:lvl3pPr>
                          <a:lvl4pPr marL="1371600" algn="l" defTabSz="457200" rtl="0" fontAlgn="base">
                            <a:spcBef>
                              <a:spcPct val="0"/>
                            </a:spcBef>
                            <a:spcAft>
                              <a:spcPct val="0"/>
                            </a:spcAft>
                            <a:defRPr kern="1200">
                              <a:solidFill>
                                <a:schemeClr val="tx1"/>
                              </a:solidFill>
                              <a:latin typeface="Arial" charset="0"/>
                              <a:ea typeface="+mn-ea"/>
                              <a:cs typeface="Arial" charset="0"/>
                            </a:defRPr>
                          </a:lvl4pPr>
                          <a:lvl5pPr marL="1828800" algn="l" defTabSz="457200"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en-US" dirty="0" smtClean="0"/>
                            <a:t>Abstract APIs</a:t>
                          </a:r>
                          <a:endParaRPr lang="en-US" dirty="0"/>
                        </a:p>
                      </a:txBody>
                      <a:useSpRect/>
                    </a:txSp>
                  </a:sp>
                  <a:sp>
                    <a:nvSpPr>
                      <a:cNvPr id="11" name="Vertical Scroll 10"/>
                      <a:cNvSpPr/>
                    </a:nvSpPr>
                    <a:spPr>
                      <a:xfrm>
                        <a:off x="2594230" y="2044562"/>
                        <a:ext cx="3200396" cy="3811713"/>
                      </a:xfrm>
                      <a:prstGeom prst="verticalScroll">
                        <a:avLst/>
                      </a:prstGeom>
                      <a:gradFill>
                        <a:gsLst>
                          <a:gs pos="0">
                            <a:schemeClr val="accent1">
                              <a:tint val="100000"/>
                              <a:shade val="100000"/>
                              <a:satMod val="130000"/>
                            </a:schemeClr>
                          </a:gs>
                          <a:gs pos="100000">
                            <a:schemeClr val="accent1">
                              <a:tint val="50000"/>
                              <a:shade val="100000"/>
                              <a:satMod val="350000"/>
                            </a:schemeClr>
                          </a:gs>
                        </a:gsLst>
                        <a:lin ang="16200000" scaled="0"/>
                      </a:gradFill>
                      <a:ln>
                        <a:solidFill>
                          <a:schemeClr val="tx1"/>
                        </a:solidFill>
                      </a:ln>
                    </a:spPr>
                    <a:txSp>
                      <a:txBody>
                        <a:bodyPr rtlCol="0"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sp>
                    <a:nvSpPr>
                      <a:cNvPr id="12" name="TextBox 11"/>
                      <a:cNvSpPr txBox="1"/>
                    </a:nvSpPr>
                    <a:spPr>
                      <a:xfrm>
                        <a:off x="3611366" y="2095932"/>
                        <a:ext cx="2332234" cy="369332"/>
                      </a:xfrm>
                      <a:prstGeom prst="rect">
                        <a:avLst/>
                      </a:prstGeom>
                      <a:noFill/>
                    </a:spPr>
                    <a:txSp>
                      <a:txBody>
                        <a:bodyPr wrap="square" rtlCol="0">
                          <a:spAutoFit/>
                        </a:bodyPr>
                        <a:lstStyle>
                          <a:defPPr>
                            <a:defRPr lang="en-US"/>
                          </a:defPPr>
                          <a:lvl1pPr algn="l" defTabSz="457200" rtl="0" fontAlgn="base">
                            <a:spcBef>
                              <a:spcPct val="0"/>
                            </a:spcBef>
                            <a:spcAft>
                              <a:spcPct val="0"/>
                            </a:spcAft>
                            <a:defRPr kern="1200">
                              <a:solidFill>
                                <a:schemeClr val="tx1"/>
                              </a:solidFill>
                              <a:latin typeface="Arial" charset="0"/>
                              <a:ea typeface="+mn-ea"/>
                              <a:cs typeface="Arial" charset="0"/>
                            </a:defRPr>
                          </a:lvl1pPr>
                          <a:lvl2pPr marL="457200" algn="l" defTabSz="457200" rtl="0" fontAlgn="base">
                            <a:spcBef>
                              <a:spcPct val="0"/>
                            </a:spcBef>
                            <a:spcAft>
                              <a:spcPct val="0"/>
                            </a:spcAft>
                            <a:defRPr kern="1200">
                              <a:solidFill>
                                <a:schemeClr val="tx1"/>
                              </a:solidFill>
                              <a:latin typeface="Arial" charset="0"/>
                              <a:ea typeface="+mn-ea"/>
                              <a:cs typeface="Arial" charset="0"/>
                            </a:defRPr>
                          </a:lvl2pPr>
                          <a:lvl3pPr marL="914400" algn="l" defTabSz="457200" rtl="0" fontAlgn="base">
                            <a:spcBef>
                              <a:spcPct val="0"/>
                            </a:spcBef>
                            <a:spcAft>
                              <a:spcPct val="0"/>
                            </a:spcAft>
                            <a:defRPr kern="1200">
                              <a:solidFill>
                                <a:schemeClr val="tx1"/>
                              </a:solidFill>
                              <a:latin typeface="Arial" charset="0"/>
                              <a:ea typeface="+mn-ea"/>
                              <a:cs typeface="Arial" charset="0"/>
                            </a:defRPr>
                          </a:lvl3pPr>
                          <a:lvl4pPr marL="1371600" algn="l" defTabSz="457200" rtl="0" fontAlgn="base">
                            <a:spcBef>
                              <a:spcPct val="0"/>
                            </a:spcBef>
                            <a:spcAft>
                              <a:spcPct val="0"/>
                            </a:spcAft>
                            <a:defRPr kern="1200">
                              <a:solidFill>
                                <a:schemeClr val="tx1"/>
                              </a:solidFill>
                              <a:latin typeface="Arial" charset="0"/>
                              <a:ea typeface="+mn-ea"/>
                              <a:cs typeface="Arial" charset="0"/>
                            </a:defRPr>
                          </a:lvl4pPr>
                          <a:lvl5pPr marL="1828800" algn="l" defTabSz="457200"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en-US" dirty="0" err="1" smtClean="0"/>
                            <a:t>RESTful</a:t>
                          </a:r>
                          <a:r>
                            <a:rPr lang="en-US" dirty="0" smtClean="0"/>
                            <a:t> APIs</a:t>
                          </a:r>
                          <a:endParaRPr lang="en-US" dirty="0"/>
                        </a:p>
                      </a:txBody>
                      <a:useSpRect/>
                    </a:txSp>
                  </a:sp>
                  <a:sp>
                    <a:nvSpPr>
                      <a:cNvPr id="8" name="Vertical Scroll 7"/>
                      <a:cNvSpPr/>
                    </a:nvSpPr>
                    <a:spPr>
                      <a:xfrm>
                        <a:off x="5368256" y="842480"/>
                        <a:ext cx="3714103" cy="5291191"/>
                      </a:xfrm>
                      <a:prstGeom prst="verticalScroll">
                        <a:avLst/>
                      </a:prstGeom>
                      <a:gradFill>
                        <a:gsLst>
                          <a:gs pos="0">
                            <a:schemeClr val="accent1">
                              <a:tint val="100000"/>
                              <a:shade val="100000"/>
                              <a:satMod val="130000"/>
                            </a:schemeClr>
                          </a:gs>
                          <a:gs pos="100000">
                            <a:schemeClr val="accent1">
                              <a:tint val="50000"/>
                              <a:shade val="100000"/>
                              <a:satMod val="350000"/>
                            </a:schemeClr>
                          </a:gs>
                        </a:gsLst>
                        <a:lin ang="16200000" scaled="0"/>
                      </a:gradFill>
                      <a:ln>
                        <a:solidFill>
                          <a:schemeClr val="tx1"/>
                        </a:solidFill>
                      </a:ln>
                    </a:spPr>
                    <a:txSp>
                      <a:txBody>
                        <a:bodyPr rtlCol="0"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sp>
                    <a:nvSpPr>
                      <a:cNvPr id="5" name="Content Placeholder 4"/>
                      <a:cNvSpPr>
                        <a:spLocks noGrp="1"/>
                      </a:cNvSpPr>
                    </a:nvSpPr>
                    <a:spPr>
                      <a:xfrm>
                        <a:off x="508570" y="1782637"/>
                        <a:ext cx="2399015" cy="3391011"/>
                      </a:xfrm>
                      <a:prstGeom prst="rect">
                        <a:avLst/>
                      </a:prstGeom>
                    </a:spPr>
                    <a:txSp>
                      <a:txBody>
                        <a:bodyPr tIns="0" bIns="0"/>
                        <a:lstStyle>
                          <a:lvl1pPr marL="342900" indent="-342900" algn="l" defTabSz="457200" rtl="0" eaLnBrk="1" fontAlgn="base" hangingPunct="1">
                            <a:spcBef>
                              <a:spcPts val="1032"/>
                            </a:spcBef>
                            <a:spcAft>
                              <a:spcPct val="0"/>
                            </a:spcAft>
                            <a:buFont typeface="Arial" pitchFamily="34" charset="0"/>
                            <a:buChar char="•"/>
                            <a:defRPr sz="2400" kern="1200">
                              <a:solidFill>
                                <a:schemeClr val="tx1"/>
                              </a:solidFill>
                              <a:latin typeface="Helvetica Neue"/>
                              <a:ea typeface="Helvetica Neue"/>
                              <a:cs typeface="Helvetica Neue"/>
                            </a:defRPr>
                          </a:lvl1pPr>
                          <a:lvl2pPr marL="742950" indent="-285750" algn="l" defTabSz="457200" rtl="0" eaLnBrk="1" fontAlgn="base" hangingPunct="1">
                            <a:spcBef>
                              <a:spcPct val="20000"/>
                            </a:spcBef>
                            <a:spcAft>
                              <a:spcPct val="0"/>
                            </a:spcAft>
                            <a:buClrTx/>
                            <a:buFont typeface="Arial" pitchFamily="34" charset="0"/>
                            <a:buChar char="•"/>
                            <a:defRPr sz="2200" kern="1200">
                              <a:solidFill>
                                <a:schemeClr val="tx1"/>
                              </a:solidFill>
                              <a:latin typeface="Helvetica Neue"/>
                              <a:ea typeface="Helvetica Neue"/>
                              <a:cs typeface="Helvetica Neue"/>
                            </a:defRPr>
                          </a:lvl2pPr>
                          <a:lvl3pPr marL="1143000" indent="-228600" algn="l" defTabSz="457200" rtl="0" eaLnBrk="1" fontAlgn="base" hangingPunct="1">
                            <a:spcBef>
                              <a:spcPct val="20000"/>
                            </a:spcBef>
                            <a:spcAft>
                              <a:spcPct val="0"/>
                            </a:spcAft>
                            <a:buClrTx/>
                            <a:buFont typeface="Arial" pitchFamily="34" charset="0"/>
                            <a:buChar char="•"/>
                            <a:defRPr sz="2200" kern="1200">
                              <a:solidFill>
                                <a:schemeClr val="tx1"/>
                              </a:solidFill>
                              <a:latin typeface="Helvetica Neue"/>
                              <a:ea typeface="Helvetica Neue"/>
                              <a:cs typeface="Helvetica Neue"/>
                            </a:defRPr>
                          </a:lvl3pPr>
                          <a:lvl4pPr marL="1600200" indent="-228600" algn="l" defTabSz="457200" rtl="0" eaLnBrk="1" fontAlgn="base" hangingPunct="1">
                            <a:spcBef>
                              <a:spcPct val="20000"/>
                            </a:spcBef>
                            <a:spcAft>
                              <a:spcPct val="0"/>
                            </a:spcAft>
                            <a:buClrTx/>
                            <a:buFont typeface="Arial" pitchFamily="34" charset="0"/>
                            <a:buChar char="•"/>
                            <a:defRPr sz="2200" kern="1200" baseline="0">
                              <a:solidFill>
                                <a:schemeClr val="tx1"/>
                              </a:solidFill>
                              <a:latin typeface="Helvetica Neue"/>
                              <a:ea typeface="Helvetica Neue"/>
                              <a:cs typeface="Helvetica Neue"/>
                            </a:defRPr>
                          </a:lvl4pPr>
                          <a:lvl5pPr marL="2057400" indent="-228600" algn="l" defTabSz="457200" rtl="0" eaLnBrk="1" fontAlgn="base" hangingPunct="1">
                            <a:spcBef>
                              <a:spcPct val="20000"/>
                            </a:spcBef>
                            <a:spcAft>
                              <a:spcPct val="0"/>
                            </a:spcAft>
                            <a:buClrTx/>
                            <a:buFont typeface="Arial" pitchFamily="34" charset="0"/>
                            <a:buChar char="•"/>
                            <a:defRPr sz="2200" kern="1200">
                              <a:solidFill>
                                <a:schemeClr val="tx1"/>
                              </a:solidFill>
                              <a:latin typeface="Helvetica Neue"/>
                              <a:ea typeface="Helvetica Neue"/>
                              <a:cs typeface="Helvetica Neue"/>
                            </a:defRPr>
                          </a:lvl5pPr>
                          <a:lvl6pPr marL="2514600" indent="-228600" algn="l" defTabSz="457200" rtl="0" eaLnBrk="1" latinLnBrk="0" hangingPunct="1">
                            <a:spcBef>
                              <a:spcPct val="20000"/>
                            </a:spcBef>
                            <a:buFont typeface="Arial"/>
                            <a:buChar char="•"/>
                            <a:defRPr sz="2000" kern="1200">
                              <a:solidFill>
                                <a:schemeClr val="tx1"/>
                              </a:solidFill>
                              <a:latin typeface="+mn-lt"/>
                              <a:ea typeface="+mn-ea"/>
                              <a:cs typeface="+mn-cs"/>
                            </a:defRPr>
                          </a:lvl6pPr>
                          <a:lvl7pPr marL="2971800" indent="-228600" algn="l" defTabSz="457200" rtl="0" eaLnBrk="1" latinLnBrk="0" hangingPunct="1">
                            <a:spcBef>
                              <a:spcPct val="20000"/>
                            </a:spcBef>
                            <a:buFont typeface="Arial"/>
                            <a:buChar char="•"/>
                            <a:defRPr sz="2000" kern="1200">
                              <a:solidFill>
                                <a:schemeClr val="tx1"/>
                              </a:solidFill>
                              <a:latin typeface="+mn-lt"/>
                              <a:ea typeface="+mn-ea"/>
                              <a:cs typeface="+mn-cs"/>
                            </a:defRPr>
                          </a:lvl7pPr>
                          <a:lvl8pPr marL="3429000" indent="-228600" algn="l" defTabSz="457200" rtl="0" eaLnBrk="1" latinLnBrk="0" hangingPunct="1">
                            <a:spcBef>
                              <a:spcPct val="20000"/>
                            </a:spcBef>
                            <a:buFont typeface="Arial"/>
                            <a:buChar char="•"/>
                            <a:defRPr sz="2000" kern="1200">
                              <a:solidFill>
                                <a:schemeClr val="tx1"/>
                              </a:solidFill>
                              <a:latin typeface="+mn-lt"/>
                              <a:ea typeface="+mn-ea"/>
                              <a:cs typeface="+mn-cs"/>
                            </a:defRPr>
                          </a:lvl8pPr>
                          <a:lvl9pPr marL="3886200" indent="-228600" algn="l" defTabSz="457200" rtl="0" eaLnBrk="1" latinLnBrk="0" hangingPunct="1">
                            <a:spcBef>
                              <a:spcPct val="20000"/>
                            </a:spcBef>
                            <a:buFont typeface="Arial"/>
                            <a:buChar char="•"/>
                            <a:defRPr sz="2000" kern="1200">
                              <a:solidFill>
                                <a:schemeClr val="tx1"/>
                              </a:solidFill>
                              <a:latin typeface="+mn-lt"/>
                              <a:ea typeface="+mn-ea"/>
                              <a:cs typeface="+mn-cs"/>
                            </a:defRPr>
                          </a:lvl9pPr>
                        </a:lstStyle>
                        <a:p>
                          <a:pPr>
                            <a:spcBef>
                              <a:spcPts val="300"/>
                            </a:spcBef>
                          </a:pPr>
                          <a:r>
                            <a:rPr lang="en-US" sz="1400" dirty="0" smtClean="0">
                              <a:latin typeface="Arial Narrow" pitchFamily="34" charset="0"/>
                            </a:rPr>
                            <a:t>Call Control</a:t>
                          </a:r>
                        </a:p>
                        <a:p>
                          <a:pPr>
                            <a:spcBef>
                              <a:spcPts val="300"/>
                            </a:spcBef>
                          </a:pPr>
                          <a:r>
                            <a:rPr lang="en-US" sz="1400" dirty="0" smtClean="0">
                              <a:latin typeface="Arial Narrow" pitchFamily="34" charset="0"/>
                            </a:rPr>
                            <a:t>Call Notification</a:t>
                          </a:r>
                        </a:p>
                        <a:p>
                          <a:pPr>
                            <a:spcBef>
                              <a:spcPts val="300"/>
                            </a:spcBef>
                          </a:pPr>
                          <a:r>
                            <a:rPr lang="en-US" sz="1400" dirty="0" smtClean="0">
                              <a:latin typeface="Arial Narrow" pitchFamily="34" charset="0"/>
                            </a:rPr>
                            <a:t>Call Handling</a:t>
                          </a:r>
                        </a:p>
                        <a:p>
                          <a:pPr>
                            <a:spcBef>
                              <a:spcPts val="300"/>
                            </a:spcBef>
                          </a:pPr>
                          <a:r>
                            <a:rPr lang="en-US" sz="1400" dirty="0" smtClean="0">
                              <a:latin typeface="Arial Narrow" pitchFamily="34" charset="0"/>
                            </a:rPr>
                            <a:t>Context Entity Discovery</a:t>
                          </a:r>
                        </a:p>
                        <a:p>
                          <a:pPr>
                            <a:spcBef>
                              <a:spcPts val="300"/>
                            </a:spcBef>
                          </a:pPr>
                          <a:r>
                            <a:rPr lang="en-US" sz="1400" dirty="0" smtClean="0">
                              <a:latin typeface="Arial Narrow" pitchFamily="34" charset="0"/>
                            </a:rPr>
                            <a:t>Context Information</a:t>
                          </a:r>
                        </a:p>
                        <a:p>
                          <a:pPr>
                            <a:spcBef>
                              <a:spcPts val="300"/>
                            </a:spcBef>
                          </a:pPr>
                          <a:r>
                            <a:rPr lang="en-US" sz="1400" dirty="0" smtClean="0">
                              <a:latin typeface="Arial Narrow" pitchFamily="34" charset="0"/>
                            </a:rPr>
                            <a:t>Generic Data Change Notification</a:t>
                          </a:r>
                        </a:p>
                        <a:p>
                          <a:pPr>
                            <a:spcBef>
                              <a:spcPts val="300"/>
                            </a:spcBef>
                          </a:pPr>
                          <a:r>
                            <a:rPr lang="en-US" sz="1400" dirty="0" smtClean="0">
                              <a:latin typeface="Arial Narrow" pitchFamily="34" charset="0"/>
                            </a:rPr>
                            <a:t>Generic Data Management</a:t>
                          </a:r>
                        </a:p>
                        <a:p>
                          <a:pPr>
                            <a:spcBef>
                              <a:spcPts val="300"/>
                            </a:spcBef>
                          </a:pPr>
                          <a:r>
                            <a:rPr lang="en-US" sz="1400" dirty="0" smtClean="0">
                              <a:latin typeface="Arial Narrow" pitchFamily="34" charset="0"/>
                            </a:rPr>
                            <a:t>Identity Management</a:t>
                          </a:r>
                        </a:p>
                        <a:p>
                          <a:pPr>
                            <a:spcBef>
                              <a:spcPts val="300"/>
                            </a:spcBef>
                          </a:pPr>
                          <a:r>
                            <a:rPr lang="en-US" sz="1400" dirty="0" smtClean="0">
                              <a:latin typeface="Arial Narrow" pitchFamily="34" charset="0"/>
                            </a:rPr>
                            <a:t>Identity Resolution</a:t>
                          </a:r>
                        </a:p>
                        <a:p>
                          <a:pPr>
                            <a:spcBef>
                              <a:spcPts val="300"/>
                            </a:spcBef>
                          </a:pPr>
                          <a:r>
                            <a:rPr lang="en-US" sz="1400" dirty="0" smtClean="0">
                              <a:latin typeface="Arial Narrow" pitchFamily="34" charset="0"/>
                            </a:rPr>
                            <a:t>Multimedia Conference</a:t>
                          </a:r>
                        </a:p>
                        <a:p>
                          <a:pPr>
                            <a:spcBef>
                              <a:spcPts val="300"/>
                            </a:spcBef>
                          </a:pPr>
                          <a:r>
                            <a:rPr lang="en-US" sz="1400" dirty="0" smtClean="0">
                              <a:latin typeface="Arial Narrow" pitchFamily="34" charset="0"/>
                            </a:rPr>
                            <a:t>Multimedia List Handling</a:t>
                          </a:r>
                        </a:p>
                        <a:p>
                          <a:pPr>
                            <a:spcBef>
                              <a:spcPts val="300"/>
                            </a:spcBef>
                          </a:pPr>
                          <a:r>
                            <a:rPr lang="en-US" sz="1400" dirty="0" smtClean="0">
                              <a:latin typeface="Arial Narrow" pitchFamily="34" charset="0"/>
                            </a:rPr>
                            <a:t>Service Discovery</a:t>
                          </a:r>
                        </a:p>
                        <a:p>
                          <a:pPr>
                            <a:spcBef>
                              <a:spcPts val="300"/>
                            </a:spcBef>
                          </a:pPr>
                          <a:r>
                            <a:rPr lang="en-US" sz="1400" dirty="0" smtClean="0">
                              <a:latin typeface="Arial Narrow" pitchFamily="34" charset="0"/>
                            </a:rPr>
                            <a:t>Service Registration</a:t>
                          </a:r>
                        </a:p>
                      </a:txBody>
                      <a:useSpRect/>
                    </a:txSp>
                  </a:sp>
                  <a:sp>
                    <a:nvSpPr>
                      <a:cNvPr id="6" name="Content Placeholder 4"/>
                      <a:cNvSpPr txBox="1">
                        <a:spLocks/>
                      </a:cNvSpPr>
                    </a:nvSpPr>
                    <a:spPr>
                      <a:xfrm>
                        <a:off x="3195263" y="2568543"/>
                        <a:ext cx="2250041" cy="3236359"/>
                      </a:xfrm>
                      <a:prstGeom prst="rect">
                        <a:avLst/>
                      </a:prstGeom>
                    </a:spPr>
                    <a:txSp>
                      <a:txBody>
                        <a:bodyPr tIns="0" bIns="0"/>
                        <a:lstStyle>
                          <a:defPPr>
                            <a:defRPr lang="en-US"/>
                          </a:defPPr>
                          <a:lvl1pPr algn="l" defTabSz="457200" rtl="0" fontAlgn="base">
                            <a:spcBef>
                              <a:spcPct val="0"/>
                            </a:spcBef>
                            <a:spcAft>
                              <a:spcPct val="0"/>
                            </a:spcAft>
                            <a:defRPr kern="1200">
                              <a:solidFill>
                                <a:schemeClr val="tx1"/>
                              </a:solidFill>
                              <a:latin typeface="Arial" charset="0"/>
                              <a:ea typeface="+mn-ea"/>
                              <a:cs typeface="Arial" charset="0"/>
                            </a:defRPr>
                          </a:lvl1pPr>
                          <a:lvl2pPr marL="457200" algn="l" defTabSz="457200" rtl="0" fontAlgn="base">
                            <a:spcBef>
                              <a:spcPct val="0"/>
                            </a:spcBef>
                            <a:spcAft>
                              <a:spcPct val="0"/>
                            </a:spcAft>
                            <a:defRPr kern="1200">
                              <a:solidFill>
                                <a:schemeClr val="tx1"/>
                              </a:solidFill>
                              <a:latin typeface="Arial" charset="0"/>
                              <a:ea typeface="+mn-ea"/>
                              <a:cs typeface="Arial" charset="0"/>
                            </a:defRPr>
                          </a:lvl2pPr>
                          <a:lvl3pPr marL="914400" algn="l" defTabSz="457200" rtl="0" fontAlgn="base">
                            <a:spcBef>
                              <a:spcPct val="0"/>
                            </a:spcBef>
                            <a:spcAft>
                              <a:spcPct val="0"/>
                            </a:spcAft>
                            <a:defRPr kern="1200">
                              <a:solidFill>
                                <a:schemeClr val="tx1"/>
                              </a:solidFill>
                              <a:latin typeface="Arial" charset="0"/>
                              <a:ea typeface="+mn-ea"/>
                              <a:cs typeface="Arial" charset="0"/>
                            </a:defRPr>
                          </a:lvl3pPr>
                          <a:lvl4pPr marL="1371600" algn="l" defTabSz="457200" rtl="0" fontAlgn="base">
                            <a:spcBef>
                              <a:spcPct val="0"/>
                            </a:spcBef>
                            <a:spcAft>
                              <a:spcPct val="0"/>
                            </a:spcAft>
                            <a:defRPr kern="1200">
                              <a:solidFill>
                                <a:schemeClr val="tx1"/>
                              </a:solidFill>
                              <a:latin typeface="Arial" charset="0"/>
                              <a:ea typeface="+mn-ea"/>
                              <a:cs typeface="Arial" charset="0"/>
                            </a:defRPr>
                          </a:lvl4pPr>
                          <a:lvl5pPr marL="1828800" algn="l" defTabSz="457200"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marL="342900" marR="0" lvl="0" indent="-342900" algn="l" defTabSz="457200" rtl="0" eaLnBrk="1" fontAlgn="base" latinLnBrk="0" hangingPunct="1">
                            <a:lnSpc>
                              <a:spcPct val="100000"/>
                            </a:lnSpc>
                            <a:spcBef>
                              <a:spcPts val="300"/>
                            </a:spcBef>
                            <a:spcAft>
                              <a:spcPct val="0"/>
                            </a:spcAft>
                            <a:buClrTx/>
                            <a:buSzTx/>
                            <a:buFont typeface="Arial" pitchFamily="34" charset="0"/>
                            <a:buChar char="•"/>
                            <a:tabLst/>
                            <a:defRPr/>
                          </a:pPr>
                          <a:r>
                            <a:rPr kumimoji="0" lang="en-US" sz="1400" b="0" i="0" u="none" strike="noStrike" kern="1200" cap="none" spc="0" normalizeH="0" baseline="0" noProof="0" dirty="0" smtClean="0">
                              <a:ln>
                                <a:noFill/>
                              </a:ln>
                              <a:solidFill>
                                <a:schemeClr val="tx1"/>
                              </a:solidFill>
                              <a:effectLst/>
                              <a:uLnTx/>
                              <a:uFillTx/>
                              <a:latin typeface="Arial Narrow" pitchFamily="34" charset="0"/>
                              <a:ea typeface="Helvetica Neue"/>
                              <a:cs typeface="Helvetica Neue"/>
                            </a:rPr>
                            <a:t>Address List Management</a:t>
                          </a:r>
                        </a:p>
                        <a:p>
                          <a:pPr marL="342900" marR="0" lvl="0" indent="-342900" algn="l" defTabSz="457200" rtl="0" eaLnBrk="1" fontAlgn="base" latinLnBrk="0" hangingPunct="1">
                            <a:lnSpc>
                              <a:spcPct val="100000"/>
                            </a:lnSpc>
                            <a:spcBef>
                              <a:spcPts val="300"/>
                            </a:spcBef>
                            <a:spcAft>
                              <a:spcPct val="0"/>
                            </a:spcAft>
                            <a:buClrTx/>
                            <a:buSzTx/>
                            <a:buFont typeface="Arial" pitchFamily="34" charset="0"/>
                            <a:buChar char="•"/>
                            <a:tabLst/>
                            <a:defRPr/>
                          </a:pPr>
                          <a:r>
                            <a:rPr lang="en-US" sz="1400" dirty="0" smtClean="0">
                              <a:latin typeface="Arial Narrow" pitchFamily="34" charset="0"/>
                              <a:ea typeface="Helvetica Neue"/>
                              <a:cs typeface="Helvetica Neue"/>
                            </a:rPr>
                            <a:t>Audio Call</a:t>
                          </a:r>
                        </a:p>
                        <a:p>
                          <a:pPr marL="342900" marR="0" lvl="0" indent="-342900" algn="l" defTabSz="457200" rtl="0" eaLnBrk="1" fontAlgn="base" latinLnBrk="0" hangingPunct="1">
                            <a:lnSpc>
                              <a:spcPct val="100000"/>
                            </a:lnSpc>
                            <a:spcBef>
                              <a:spcPts val="300"/>
                            </a:spcBef>
                            <a:spcAft>
                              <a:spcPct val="0"/>
                            </a:spcAft>
                            <a:buClrTx/>
                            <a:buSzTx/>
                            <a:buFont typeface="Arial" pitchFamily="34" charset="0"/>
                            <a:buChar char="•"/>
                            <a:tabLst/>
                            <a:defRPr/>
                          </a:pPr>
                          <a:r>
                            <a:rPr kumimoji="0" lang="en-US" sz="1400" b="0" i="0" u="none" strike="noStrike" kern="1200" cap="none" spc="0" normalizeH="0" baseline="0" noProof="0" dirty="0" smtClean="0">
                              <a:ln>
                                <a:noFill/>
                              </a:ln>
                              <a:solidFill>
                                <a:schemeClr val="tx1"/>
                              </a:solidFill>
                              <a:effectLst/>
                              <a:uLnTx/>
                              <a:uFillTx/>
                              <a:latin typeface="Arial Narrow" pitchFamily="34" charset="0"/>
                              <a:ea typeface="Helvetica Neue"/>
                              <a:cs typeface="Helvetica Neue"/>
                            </a:rPr>
                            <a:t>Call Control</a:t>
                          </a:r>
                        </a:p>
                        <a:p>
                          <a:pPr marL="342900" marR="0" lvl="0" indent="-342900" algn="l" defTabSz="457200" rtl="0" eaLnBrk="1" fontAlgn="base" latinLnBrk="0" hangingPunct="1">
                            <a:lnSpc>
                              <a:spcPct val="100000"/>
                            </a:lnSpc>
                            <a:spcBef>
                              <a:spcPts val="300"/>
                            </a:spcBef>
                            <a:spcAft>
                              <a:spcPct val="0"/>
                            </a:spcAft>
                            <a:buClrTx/>
                            <a:buSzTx/>
                            <a:buFont typeface="Arial" pitchFamily="34" charset="0"/>
                            <a:buChar char="•"/>
                            <a:tabLst/>
                            <a:defRPr/>
                          </a:pPr>
                          <a:r>
                            <a:rPr lang="en-US" sz="1400" dirty="0" smtClean="0">
                              <a:latin typeface="Arial Narrow" pitchFamily="34" charset="0"/>
                              <a:ea typeface="Helvetica Neue"/>
                              <a:cs typeface="Helvetica Neue"/>
                            </a:rPr>
                            <a:t>Call Notification</a:t>
                          </a:r>
                        </a:p>
                        <a:p>
                          <a:pPr marL="342900" marR="0" lvl="0" indent="-342900" algn="l" defTabSz="457200" rtl="0" eaLnBrk="1" fontAlgn="base" latinLnBrk="0" hangingPunct="1">
                            <a:lnSpc>
                              <a:spcPct val="100000"/>
                            </a:lnSpc>
                            <a:spcBef>
                              <a:spcPts val="300"/>
                            </a:spcBef>
                            <a:spcAft>
                              <a:spcPct val="0"/>
                            </a:spcAft>
                            <a:buClrTx/>
                            <a:buSzTx/>
                            <a:buFont typeface="Arial" pitchFamily="34" charset="0"/>
                            <a:buChar char="•"/>
                            <a:tabLst/>
                            <a:defRPr/>
                          </a:pPr>
                          <a:r>
                            <a:rPr kumimoji="0" lang="en-US" sz="1400" b="0" i="0" u="none" strike="noStrike" kern="1200" cap="none" spc="0" normalizeH="0" baseline="0" noProof="0" dirty="0" smtClean="0">
                              <a:ln>
                                <a:noFill/>
                              </a:ln>
                              <a:solidFill>
                                <a:schemeClr val="tx1"/>
                              </a:solidFill>
                              <a:effectLst/>
                              <a:uLnTx/>
                              <a:uFillTx/>
                              <a:latin typeface="Arial Narrow" pitchFamily="34" charset="0"/>
                              <a:ea typeface="Helvetica Neue"/>
                              <a:cs typeface="Helvetica Neue"/>
                            </a:rPr>
                            <a:t>Device </a:t>
                          </a:r>
                          <a:r>
                            <a:rPr kumimoji="0" lang="en-US" sz="1400" b="0" i="0" u="none" strike="noStrike" kern="1200" cap="none" spc="0" normalizeH="0" baseline="0" noProof="0" dirty="0" err="1" smtClean="0">
                              <a:ln>
                                <a:noFill/>
                              </a:ln>
                              <a:solidFill>
                                <a:schemeClr val="tx1"/>
                              </a:solidFill>
                              <a:effectLst/>
                              <a:uLnTx/>
                              <a:uFillTx/>
                              <a:latin typeface="Arial Narrow" pitchFamily="34" charset="0"/>
                              <a:ea typeface="Helvetica Neue"/>
                              <a:cs typeface="Helvetica Neue"/>
                            </a:rPr>
                            <a:t>Capailities</a:t>
                          </a:r>
                          <a:endParaRPr kumimoji="0" lang="en-US" sz="1400" b="0" i="0" u="none" strike="noStrike" kern="1200" cap="none" spc="0" normalizeH="0" baseline="0" noProof="0" dirty="0" smtClean="0">
                            <a:ln>
                              <a:noFill/>
                            </a:ln>
                            <a:solidFill>
                              <a:schemeClr val="tx1"/>
                            </a:solidFill>
                            <a:effectLst/>
                            <a:uLnTx/>
                            <a:uFillTx/>
                            <a:latin typeface="Arial Narrow" pitchFamily="34" charset="0"/>
                            <a:ea typeface="Helvetica Neue"/>
                            <a:cs typeface="Helvetica Neue"/>
                          </a:endParaRPr>
                        </a:p>
                        <a:p>
                          <a:pPr marL="342900" marR="0" lvl="0" indent="-342900" algn="l" defTabSz="457200" rtl="0" eaLnBrk="1" fontAlgn="base" latinLnBrk="0" hangingPunct="1">
                            <a:lnSpc>
                              <a:spcPct val="100000"/>
                            </a:lnSpc>
                            <a:spcBef>
                              <a:spcPts val="300"/>
                            </a:spcBef>
                            <a:spcAft>
                              <a:spcPct val="0"/>
                            </a:spcAft>
                            <a:buClrTx/>
                            <a:buSzTx/>
                            <a:buFont typeface="Arial" pitchFamily="34" charset="0"/>
                            <a:buChar char="•"/>
                            <a:tabLst/>
                            <a:defRPr/>
                          </a:pPr>
                          <a:r>
                            <a:rPr lang="en-US" sz="1400" dirty="0" smtClean="0">
                              <a:latin typeface="Arial Narrow" pitchFamily="34" charset="0"/>
                              <a:ea typeface="Helvetica Neue"/>
                              <a:cs typeface="Helvetica Neue"/>
                            </a:rPr>
                            <a:t>Multimedia Messaging</a:t>
                          </a:r>
                        </a:p>
                        <a:p>
                          <a:pPr marL="342900" marR="0" lvl="0" indent="-342900" algn="l" defTabSz="457200" rtl="0" eaLnBrk="1" fontAlgn="base" latinLnBrk="0" hangingPunct="1">
                            <a:lnSpc>
                              <a:spcPct val="100000"/>
                            </a:lnSpc>
                            <a:spcBef>
                              <a:spcPts val="300"/>
                            </a:spcBef>
                            <a:spcAft>
                              <a:spcPct val="0"/>
                            </a:spcAft>
                            <a:buClrTx/>
                            <a:buSzTx/>
                            <a:buFont typeface="Arial" pitchFamily="34" charset="0"/>
                            <a:buChar char="•"/>
                            <a:tabLst/>
                            <a:defRPr/>
                          </a:pPr>
                          <a:r>
                            <a:rPr kumimoji="0" lang="en-US" sz="1400" b="0" i="0" u="none" strike="noStrike" kern="1200" cap="none" spc="0" normalizeH="0" baseline="0" noProof="0" dirty="0" smtClean="0">
                              <a:ln>
                                <a:noFill/>
                              </a:ln>
                              <a:solidFill>
                                <a:schemeClr val="tx1"/>
                              </a:solidFill>
                              <a:effectLst/>
                              <a:uLnTx/>
                              <a:uFillTx/>
                              <a:latin typeface="Arial Narrow" pitchFamily="34" charset="0"/>
                              <a:ea typeface="Helvetica Neue"/>
                              <a:cs typeface="Helvetica Neue"/>
                            </a:rPr>
                            <a:t>Payment</a:t>
                          </a:r>
                        </a:p>
                        <a:p>
                          <a:pPr marL="342900" marR="0" lvl="0" indent="-342900" algn="l" defTabSz="457200" rtl="0" eaLnBrk="1" fontAlgn="base" latinLnBrk="0" hangingPunct="1">
                            <a:lnSpc>
                              <a:spcPct val="100000"/>
                            </a:lnSpc>
                            <a:spcBef>
                              <a:spcPts val="300"/>
                            </a:spcBef>
                            <a:spcAft>
                              <a:spcPct val="0"/>
                            </a:spcAft>
                            <a:buClrTx/>
                            <a:buSzTx/>
                            <a:buFont typeface="Arial" pitchFamily="34" charset="0"/>
                            <a:buChar char="•"/>
                            <a:tabLst/>
                            <a:defRPr/>
                          </a:pPr>
                          <a:r>
                            <a:rPr lang="en-US" sz="1400" dirty="0" smtClean="0">
                              <a:latin typeface="Arial Narrow" pitchFamily="34" charset="0"/>
                              <a:ea typeface="Helvetica Neue"/>
                              <a:cs typeface="Helvetica Neue"/>
                            </a:rPr>
                            <a:t>Presence</a:t>
                          </a:r>
                        </a:p>
                        <a:p>
                          <a:pPr marL="342900" marR="0" lvl="0" indent="-342900" algn="l" defTabSz="457200" rtl="0" eaLnBrk="1" fontAlgn="base" latinLnBrk="0" hangingPunct="1">
                            <a:lnSpc>
                              <a:spcPct val="100000"/>
                            </a:lnSpc>
                            <a:spcBef>
                              <a:spcPts val="300"/>
                            </a:spcBef>
                            <a:spcAft>
                              <a:spcPct val="0"/>
                            </a:spcAft>
                            <a:buClrTx/>
                            <a:buSzTx/>
                            <a:buFont typeface="Arial" pitchFamily="34" charset="0"/>
                            <a:buChar char="•"/>
                            <a:tabLst/>
                            <a:defRPr/>
                          </a:pPr>
                          <a:r>
                            <a:rPr kumimoji="0" lang="en-US" sz="1400" b="0" i="0" u="none" strike="noStrike" kern="1200" cap="none" spc="0" normalizeH="0" baseline="0" noProof="0" dirty="0" smtClean="0">
                              <a:ln>
                                <a:noFill/>
                              </a:ln>
                              <a:solidFill>
                                <a:schemeClr val="tx1"/>
                              </a:solidFill>
                              <a:effectLst/>
                              <a:uLnTx/>
                              <a:uFillTx/>
                              <a:latin typeface="Arial Narrow" pitchFamily="34" charset="0"/>
                              <a:ea typeface="Helvetica Neue"/>
                              <a:cs typeface="Helvetica Neue"/>
                            </a:rPr>
                            <a:t>Service</a:t>
                          </a:r>
                          <a:r>
                            <a:rPr kumimoji="0" lang="en-US" sz="1400" b="0" i="0" u="none" strike="noStrike" kern="1200" cap="none" spc="0" normalizeH="0" noProof="0" dirty="0" smtClean="0">
                              <a:ln>
                                <a:noFill/>
                              </a:ln>
                              <a:solidFill>
                                <a:schemeClr val="tx1"/>
                              </a:solidFill>
                              <a:effectLst/>
                              <a:uLnTx/>
                              <a:uFillTx/>
                              <a:latin typeface="Arial Narrow" pitchFamily="34" charset="0"/>
                              <a:ea typeface="Helvetica Neue"/>
                              <a:cs typeface="Helvetica Neue"/>
                            </a:rPr>
                            <a:t> User Profile Mgmt</a:t>
                          </a:r>
                        </a:p>
                        <a:p>
                          <a:pPr marL="342900" marR="0" lvl="0" indent="-342900" algn="l" defTabSz="457200" rtl="0" eaLnBrk="1" fontAlgn="base" latinLnBrk="0" hangingPunct="1">
                            <a:lnSpc>
                              <a:spcPct val="100000"/>
                            </a:lnSpc>
                            <a:spcBef>
                              <a:spcPts val="300"/>
                            </a:spcBef>
                            <a:spcAft>
                              <a:spcPct val="0"/>
                            </a:spcAft>
                            <a:buClrTx/>
                            <a:buSzTx/>
                            <a:buFont typeface="Arial" pitchFamily="34" charset="0"/>
                            <a:buChar char="•"/>
                            <a:tabLst/>
                            <a:defRPr/>
                          </a:pPr>
                          <a:r>
                            <a:rPr lang="en-US" sz="1400" baseline="0" dirty="0" smtClean="0">
                              <a:latin typeface="Arial Narrow" pitchFamily="34" charset="0"/>
                              <a:ea typeface="Helvetica Neue"/>
                              <a:cs typeface="Helvetica Neue"/>
                            </a:rPr>
                            <a:t>Short</a:t>
                          </a:r>
                          <a:r>
                            <a:rPr lang="en-US" sz="1400" dirty="0" smtClean="0">
                              <a:latin typeface="Arial Narrow" pitchFamily="34" charset="0"/>
                              <a:ea typeface="Helvetica Neue"/>
                              <a:cs typeface="Helvetica Neue"/>
                            </a:rPr>
                            <a:t> Messaging</a:t>
                          </a:r>
                        </a:p>
                        <a:p>
                          <a:pPr marL="342900" marR="0" lvl="0" indent="-342900" algn="l" defTabSz="457200" rtl="0" eaLnBrk="1" fontAlgn="base" latinLnBrk="0" hangingPunct="1">
                            <a:lnSpc>
                              <a:spcPct val="100000"/>
                            </a:lnSpc>
                            <a:spcBef>
                              <a:spcPts val="300"/>
                            </a:spcBef>
                            <a:spcAft>
                              <a:spcPct val="0"/>
                            </a:spcAft>
                            <a:buClrTx/>
                            <a:buSzTx/>
                            <a:buFont typeface="Arial" pitchFamily="34" charset="0"/>
                            <a:buChar char="•"/>
                            <a:tabLst/>
                            <a:defRPr/>
                          </a:pPr>
                          <a:r>
                            <a:rPr kumimoji="0" lang="en-US" sz="1400" b="0" i="0" u="none" strike="noStrike" kern="1200" cap="none" spc="0" normalizeH="0" baseline="0" noProof="0" dirty="0" smtClean="0">
                              <a:ln>
                                <a:noFill/>
                              </a:ln>
                              <a:solidFill>
                                <a:schemeClr val="tx1"/>
                              </a:solidFill>
                              <a:effectLst/>
                              <a:uLnTx/>
                              <a:uFillTx/>
                              <a:latin typeface="Arial Narrow" pitchFamily="34" charset="0"/>
                              <a:ea typeface="Helvetica Neue"/>
                              <a:cs typeface="Helvetica Neue"/>
                            </a:rPr>
                            <a:t>Terminal</a:t>
                          </a:r>
                          <a:r>
                            <a:rPr kumimoji="0" lang="en-US" sz="1400" b="0" i="0" u="none" strike="noStrike" kern="1200" cap="none" spc="0" normalizeH="0" noProof="0" dirty="0" smtClean="0">
                              <a:ln>
                                <a:noFill/>
                              </a:ln>
                              <a:solidFill>
                                <a:schemeClr val="tx1"/>
                              </a:solidFill>
                              <a:effectLst/>
                              <a:uLnTx/>
                              <a:uFillTx/>
                              <a:latin typeface="Arial Narrow" pitchFamily="34" charset="0"/>
                              <a:ea typeface="Helvetica Neue"/>
                              <a:cs typeface="Helvetica Neue"/>
                            </a:rPr>
                            <a:t> Location</a:t>
                          </a:r>
                        </a:p>
                        <a:p>
                          <a:pPr marL="342900" marR="0" lvl="0" indent="-342900" algn="l" defTabSz="457200" rtl="0" eaLnBrk="1" fontAlgn="base" latinLnBrk="0" hangingPunct="1">
                            <a:lnSpc>
                              <a:spcPct val="100000"/>
                            </a:lnSpc>
                            <a:spcBef>
                              <a:spcPts val="300"/>
                            </a:spcBef>
                            <a:spcAft>
                              <a:spcPct val="0"/>
                            </a:spcAft>
                            <a:buClrTx/>
                            <a:buSzTx/>
                            <a:buFont typeface="Arial" pitchFamily="34" charset="0"/>
                            <a:buChar char="•"/>
                            <a:tabLst/>
                            <a:defRPr/>
                          </a:pPr>
                          <a:r>
                            <a:rPr lang="en-US" sz="1400" baseline="0" dirty="0" smtClean="0">
                              <a:latin typeface="Arial Narrow" pitchFamily="34" charset="0"/>
                              <a:ea typeface="Helvetica Neue"/>
                              <a:cs typeface="Helvetica Neue"/>
                            </a:rPr>
                            <a:t>Terminal</a:t>
                          </a:r>
                          <a:r>
                            <a:rPr lang="en-US" sz="1400" dirty="0" smtClean="0">
                              <a:latin typeface="Arial Narrow" pitchFamily="34" charset="0"/>
                              <a:ea typeface="Helvetica Neue"/>
                              <a:cs typeface="Helvetica Neue"/>
                            </a:rPr>
                            <a:t> Status</a:t>
                          </a:r>
                        </a:p>
                        <a:p>
                          <a:pPr marL="342900" marR="0" lvl="0" indent="-342900" algn="l" defTabSz="457200" rtl="0" eaLnBrk="1" fontAlgn="base" latinLnBrk="0" hangingPunct="1">
                            <a:lnSpc>
                              <a:spcPct val="100000"/>
                            </a:lnSpc>
                            <a:spcBef>
                              <a:spcPts val="300"/>
                            </a:spcBef>
                            <a:spcAft>
                              <a:spcPct val="0"/>
                            </a:spcAft>
                            <a:buClrTx/>
                            <a:buSzTx/>
                            <a:buFont typeface="Arial" pitchFamily="34" charset="0"/>
                            <a:buChar char="•"/>
                            <a:tabLst/>
                            <a:defRPr/>
                          </a:pPr>
                          <a:r>
                            <a:rPr kumimoji="0" lang="en-US" sz="1400" b="0" i="0" u="none" strike="noStrike" kern="1200" cap="none" spc="0" normalizeH="0" baseline="0" noProof="0" dirty="0" smtClean="0">
                              <a:ln>
                                <a:noFill/>
                              </a:ln>
                              <a:solidFill>
                                <a:schemeClr val="tx1"/>
                              </a:solidFill>
                              <a:effectLst/>
                              <a:uLnTx/>
                              <a:uFillTx/>
                              <a:latin typeface="Arial Narrow" pitchFamily="34" charset="0"/>
                              <a:ea typeface="Helvetica Neue"/>
                              <a:cs typeface="Helvetica Neue"/>
                            </a:rPr>
                            <a:t>Third</a:t>
                          </a:r>
                          <a:r>
                            <a:rPr kumimoji="0" lang="en-US" sz="1400" b="0" i="0" u="none" strike="noStrike" kern="1200" cap="none" spc="0" normalizeH="0" noProof="0" dirty="0" smtClean="0">
                              <a:ln>
                                <a:noFill/>
                              </a:ln>
                              <a:solidFill>
                                <a:schemeClr val="tx1"/>
                              </a:solidFill>
                              <a:effectLst/>
                              <a:uLnTx/>
                              <a:uFillTx/>
                              <a:latin typeface="Arial Narrow" pitchFamily="34" charset="0"/>
                              <a:ea typeface="Helvetica Neue"/>
                              <a:cs typeface="Helvetica Neue"/>
                            </a:rPr>
                            <a:t> Party Call</a:t>
                          </a:r>
                          <a:endParaRPr kumimoji="0" lang="en-US" sz="1400" b="0" i="0" u="none" strike="noStrike" kern="1200" cap="none" spc="0" normalizeH="0" baseline="0" noProof="0" dirty="0" smtClean="0">
                            <a:ln>
                              <a:noFill/>
                            </a:ln>
                            <a:solidFill>
                              <a:schemeClr val="tx1"/>
                            </a:solidFill>
                            <a:effectLst/>
                            <a:uLnTx/>
                            <a:uFillTx/>
                            <a:latin typeface="Arial Narrow" pitchFamily="34" charset="0"/>
                            <a:ea typeface="Helvetica Neue"/>
                            <a:cs typeface="Helvetica Neue"/>
                          </a:endParaRPr>
                        </a:p>
                      </a:txBody>
                      <a:useSpRect/>
                    </a:txSp>
                  </a:sp>
                  <a:sp>
                    <a:nvSpPr>
                      <a:cNvPr id="7" name="Content Placeholder 4"/>
                      <a:cNvSpPr txBox="1">
                        <a:spLocks/>
                      </a:cNvSpPr>
                    </a:nvSpPr>
                    <a:spPr>
                      <a:xfrm>
                        <a:off x="5830589" y="1381951"/>
                        <a:ext cx="2892175" cy="4751720"/>
                      </a:xfrm>
                      <a:prstGeom prst="rect">
                        <a:avLst/>
                      </a:prstGeom>
                    </a:spPr>
                    <a:txSp>
                      <a:txBody>
                        <a:bodyPr tIns="0" bIns="0"/>
                        <a:lstStyle>
                          <a:defPPr>
                            <a:defRPr lang="en-US"/>
                          </a:defPPr>
                          <a:lvl1pPr algn="l" defTabSz="457200" rtl="0" fontAlgn="base">
                            <a:spcBef>
                              <a:spcPct val="0"/>
                            </a:spcBef>
                            <a:spcAft>
                              <a:spcPct val="0"/>
                            </a:spcAft>
                            <a:defRPr kern="1200">
                              <a:solidFill>
                                <a:schemeClr val="tx1"/>
                              </a:solidFill>
                              <a:latin typeface="Arial" charset="0"/>
                              <a:ea typeface="+mn-ea"/>
                              <a:cs typeface="Arial" charset="0"/>
                            </a:defRPr>
                          </a:lvl1pPr>
                          <a:lvl2pPr marL="457200" algn="l" defTabSz="457200" rtl="0" fontAlgn="base">
                            <a:spcBef>
                              <a:spcPct val="0"/>
                            </a:spcBef>
                            <a:spcAft>
                              <a:spcPct val="0"/>
                            </a:spcAft>
                            <a:defRPr kern="1200">
                              <a:solidFill>
                                <a:schemeClr val="tx1"/>
                              </a:solidFill>
                              <a:latin typeface="Arial" charset="0"/>
                              <a:ea typeface="+mn-ea"/>
                              <a:cs typeface="Arial" charset="0"/>
                            </a:defRPr>
                          </a:lvl2pPr>
                          <a:lvl3pPr marL="914400" algn="l" defTabSz="457200" rtl="0" fontAlgn="base">
                            <a:spcBef>
                              <a:spcPct val="0"/>
                            </a:spcBef>
                            <a:spcAft>
                              <a:spcPct val="0"/>
                            </a:spcAft>
                            <a:defRPr kern="1200">
                              <a:solidFill>
                                <a:schemeClr val="tx1"/>
                              </a:solidFill>
                              <a:latin typeface="Arial" charset="0"/>
                              <a:ea typeface="+mn-ea"/>
                              <a:cs typeface="Arial" charset="0"/>
                            </a:defRPr>
                          </a:lvl3pPr>
                          <a:lvl4pPr marL="1371600" algn="l" defTabSz="457200" rtl="0" fontAlgn="base">
                            <a:spcBef>
                              <a:spcPct val="0"/>
                            </a:spcBef>
                            <a:spcAft>
                              <a:spcPct val="0"/>
                            </a:spcAft>
                            <a:defRPr kern="1200">
                              <a:solidFill>
                                <a:schemeClr val="tx1"/>
                              </a:solidFill>
                              <a:latin typeface="Arial" charset="0"/>
                              <a:ea typeface="+mn-ea"/>
                              <a:cs typeface="Arial" charset="0"/>
                            </a:defRPr>
                          </a:lvl4pPr>
                          <a:lvl5pPr marL="1828800" algn="l" defTabSz="457200"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marL="342900" marR="0" lvl="0" indent="-342900" algn="l" defTabSz="457200" rtl="0" eaLnBrk="1" fontAlgn="base" latinLnBrk="0" hangingPunct="1">
                            <a:lnSpc>
                              <a:spcPct val="100000"/>
                            </a:lnSpc>
                            <a:spcBef>
                              <a:spcPts val="300"/>
                            </a:spcBef>
                            <a:spcAft>
                              <a:spcPct val="0"/>
                            </a:spcAft>
                            <a:buClrTx/>
                            <a:buSzTx/>
                            <a:buFont typeface="Arial" pitchFamily="34" charset="0"/>
                            <a:buChar char="•"/>
                            <a:tabLst/>
                            <a:defRPr/>
                          </a:pPr>
                          <a:r>
                            <a:rPr kumimoji="0" lang="en-US" sz="1400" b="0" i="0" u="none" strike="noStrike" kern="1200" cap="none" spc="0" normalizeH="0" baseline="0" noProof="0" dirty="0" smtClean="0">
                              <a:ln>
                                <a:noFill/>
                              </a:ln>
                              <a:solidFill>
                                <a:schemeClr val="tx1"/>
                              </a:solidFill>
                              <a:effectLst/>
                              <a:uLnTx/>
                              <a:uFillTx/>
                              <a:latin typeface="Arial Narrow" pitchFamily="34" charset="0"/>
                              <a:ea typeface="Helvetica Neue"/>
                              <a:cs typeface="Helvetica Neue"/>
                            </a:rPr>
                            <a:t>Account Management</a:t>
                          </a:r>
                        </a:p>
                        <a:p>
                          <a:pPr marL="342900" marR="0" lvl="0" indent="-342900" algn="l" defTabSz="457200" rtl="0" eaLnBrk="1" fontAlgn="base" latinLnBrk="0" hangingPunct="1">
                            <a:lnSpc>
                              <a:spcPct val="100000"/>
                            </a:lnSpc>
                            <a:spcBef>
                              <a:spcPts val="300"/>
                            </a:spcBef>
                            <a:spcAft>
                              <a:spcPct val="0"/>
                            </a:spcAft>
                            <a:buClrTx/>
                            <a:buSzTx/>
                            <a:buFont typeface="Arial" pitchFamily="34" charset="0"/>
                            <a:buChar char="•"/>
                            <a:tabLst/>
                            <a:defRPr/>
                          </a:pPr>
                          <a:r>
                            <a:rPr lang="en-US" sz="1400" dirty="0" smtClean="0">
                              <a:latin typeface="Arial Narrow" pitchFamily="34" charset="0"/>
                              <a:ea typeface="Helvetica Neue"/>
                              <a:cs typeface="Helvetica Neue"/>
                            </a:rPr>
                            <a:t>Audio Call</a:t>
                          </a:r>
                        </a:p>
                        <a:p>
                          <a:pPr marL="342900" marR="0" lvl="0" indent="-342900" algn="l" defTabSz="457200" rtl="0" eaLnBrk="1" fontAlgn="base" latinLnBrk="0" hangingPunct="1">
                            <a:lnSpc>
                              <a:spcPct val="100000"/>
                            </a:lnSpc>
                            <a:spcBef>
                              <a:spcPts val="300"/>
                            </a:spcBef>
                            <a:spcAft>
                              <a:spcPct val="0"/>
                            </a:spcAft>
                            <a:buClrTx/>
                            <a:buSzTx/>
                            <a:buFont typeface="Arial" pitchFamily="34" charset="0"/>
                            <a:buChar char="•"/>
                            <a:tabLst/>
                            <a:defRPr/>
                          </a:pPr>
                          <a:r>
                            <a:rPr kumimoji="0" lang="en-US" sz="1400" b="0" i="0" u="none" strike="noStrike" kern="1200" cap="none" spc="0" normalizeH="0" baseline="0" noProof="0" dirty="0" smtClean="0">
                              <a:ln>
                                <a:noFill/>
                              </a:ln>
                              <a:solidFill>
                                <a:schemeClr val="tx1"/>
                              </a:solidFill>
                              <a:effectLst/>
                              <a:uLnTx/>
                              <a:uFillTx/>
                              <a:latin typeface="Arial Narrow" pitchFamily="34" charset="0"/>
                              <a:ea typeface="Helvetica Neue"/>
                              <a:cs typeface="Helvetica Neue"/>
                            </a:rPr>
                            <a:t>Application Driven </a:t>
                          </a:r>
                          <a:r>
                            <a:rPr kumimoji="0" lang="en-US" sz="1400" b="0" i="0" u="none" strike="noStrike" kern="1200" cap="none" spc="0" normalizeH="0" baseline="0" noProof="0" dirty="0" err="1" smtClean="0">
                              <a:ln>
                                <a:noFill/>
                              </a:ln>
                              <a:solidFill>
                                <a:schemeClr val="tx1"/>
                              </a:solidFill>
                              <a:effectLst/>
                              <a:uLnTx/>
                              <a:uFillTx/>
                              <a:latin typeface="Arial Narrow" pitchFamily="34" charset="0"/>
                              <a:ea typeface="Helvetica Neue"/>
                              <a:cs typeface="Helvetica Neue"/>
                            </a:rPr>
                            <a:t>QoS</a:t>
                          </a:r>
                          <a:endParaRPr kumimoji="0" lang="en-US" sz="1400" b="0" i="0" u="none" strike="noStrike" kern="1200" cap="none" spc="0" normalizeH="0" baseline="0" noProof="0" dirty="0" smtClean="0">
                            <a:ln>
                              <a:noFill/>
                            </a:ln>
                            <a:solidFill>
                              <a:schemeClr val="tx1"/>
                            </a:solidFill>
                            <a:effectLst/>
                            <a:uLnTx/>
                            <a:uFillTx/>
                            <a:latin typeface="Arial Narrow" pitchFamily="34" charset="0"/>
                            <a:ea typeface="Helvetica Neue"/>
                            <a:cs typeface="Helvetica Neue"/>
                          </a:endParaRPr>
                        </a:p>
                        <a:p>
                          <a:pPr marL="342900" marR="0" lvl="0" indent="-342900" algn="l" defTabSz="457200" rtl="0" eaLnBrk="1" fontAlgn="base" latinLnBrk="0" hangingPunct="1">
                            <a:lnSpc>
                              <a:spcPct val="100000"/>
                            </a:lnSpc>
                            <a:spcBef>
                              <a:spcPts val="300"/>
                            </a:spcBef>
                            <a:spcAft>
                              <a:spcPct val="0"/>
                            </a:spcAft>
                            <a:buClrTx/>
                            <a:buSzTx/>
                            <a:buFont typeface="Arial" pitchFamily="34" charset="0"/>
                            <a:buChar char="•"/>
                            <a:tabLst/>
                            <a:defRPr/>
                          </a:pPr>
                          <a:r>
                            <a:rPr lang="en-US" sz="1400" dirty="0" smtClean="0">
                              <a:latin typeface="Arial Narrow" pitchFamily="34" charset="0"/>
                              <a:ea typeface="Helvetica Neue"/>
                              <a:cs typeface="Helvetica Neue"/>
                            </a:rPr>
                            <a:t>Call Notification</a:t>
                          </a:r>
                        </a:p>
                        <a:p>
                          <a:pPr marL="342900" marR="0" lvl="0" indent="-342900" algn="l" defTabSz="457200" rtl="0" eaLnBrk="1" fontAlgn="base" latinLnBrk="0" hangingPunct="1">
                            <a:lnSpc>
                              <a:spcPct val="100000"/>
                            </a:lnSpc>
                            <a:spcBef>
                              <a:spcPts val="300"/>
                            </a:spcBef>
                            <a:spcAft>
                              <a:spcPct val="0"/>
                            </a:spcAft>
                            <a:buClrTx/>
                            <a:buSzTx/>
                            <a:buFont typeface="Arial" pitchFamily="34" charset="0"/>
                            <a:buChar char="•"/>
                            <a:tabLst/>
                            <a:defRPr/>
                          </a:pPr>
                          <a:r>
                            <a:rPr kumimoji="0" lang="en-US" sz="1400" b="0" i="0" u="none" strike="noStrike" kern="1200" cap="none" spc="0" normalizeH="0" baseline="0" noProof="0" dirty="0" smtClean="0">
                              <a:ln>
                                <a:noFill/>
                              </a:ln>
                              <a:solidFill>
                                <a:schemeClr val="tx1"/>
                              </a:solidFill>
                              <a:effectLst/>
                              <a:uLnTx/>
                              <a:uFillTx/>
                              <a:latin typeface="Arial Narrow" pitchFamily="34" charset="0"/>
                              <a:ea typeface="Helvetica Neue"/>
                              <a:cs typeface="Helvetica Neue"/>
                            </a:rPr>
                            <a:t>Call Handling</a:t>
                          </a:r>
                        </a:p>
                        <a:p>
                          <a:pPr marL="342900" marR="0" lvl="0" indent="-342900" algn="l" defTabSz="457200" rtl="0" eaLnBrk="1" fontAlgn="base" latinLnBrk="0" hangingPunct="1">
                            <a:lnSpc>
                              <a:spcPct val="100000"/>
                            </a:lnSpc>
                            <a:spcBef>
                              <a:spcPts val="300"/>
                            </a:spcBef>
                            <a:spcAft>
                              <a:spcPct val="0"/>
                            </a:spcAft>
                            <a:buClrTx/>
                            <a:buSzTx/>
                            <a:buFont typeface="Arial" pitchFamily="34" charset="0"/>
                            <a:buChar char="•"/>
                            <a:tabLst/>
                            <a:defRPr/>
                          </a:pPr>
                          <a:r>
                            <a:rPr lang="en-US" sz="1400" dirty="0" smtClean="0">
                              <a:latin typeface="Arial Narrow" pitchFamily="34" charset="0"/>
                              <a:ea typeface="Helvetica Neue"/>
                              <a:cs typeface="Helvetica Neue"/>
                            </a:rPr>
                            <a:t>Content Management</a:t>
                          </a:r>
                        </a:p>
                        <a:p>
                          <a:pPr marL="342900" marR="0" lvl="0" indent="-342900" algn="l" defTabSz="457200" rtl="0" eaLnBrk="1" fontAlgn="base" latinLnBrk="0" hangingPunct="1">
                            <a:lnSpc>
                              <a:spcPct val="100000"/>
                            </a:lnSpc>
                            <a:spcBef>
                              <a:spcPts val="300"/>
                            </a:spcBef>
                            <a:spcAft>
                              <a:spcPct val="0"/>
                            </a:spcAft>
                            <a:buClrTx/>
                            <a:buSzTx/>
                            <a:buFont typeface="Arial" pitchFamily="34" charset="0"/>
                            <a:buChar char="•"/>
                            <a:tabLst/>
                            <a:defRPr/>
                          </a:pPr>
                          <a:r>
                            <a:rPr kumimoji="0" lang="en-US" sz="1400" b="0" i="0" u="none" strike="noStrike" kern="1200" cap="none" spc="0" normalizeH="0" baseline="0" noProof="0" dirty="0" smtClean="0">
                              <a:ln>
                                <a:noFill/>
                              </a:ln>
                              <a:solidFill>
                                <a:schemeClr val="tx1"/>
                              </a:solidFill>
                              <a:effectLst/>
                              <a:uLnTx/>
                              <a:uFillTx/>
                              <a:latin typeface="Arial Narrow" pitchFamily="34" charset="0"/>
                              <a:ea typeface="Helvetica Neue"/>
                              <a:cs typeface="Helvetica Neue"/>
                            </a:rPr>
                            <a:t>Device Capabilities</a:t>
                          </a:r>
                        </a:p>
                        <a:p>
                          <a:pPr marL="342900" marR="0" lvl="0" indent="-342900" algn="l" defTabSz="457200" rtl="0" eaLnBrk="1" fontAlgn="base" latinLnBrk="0" hangingPunct="1">
                            <a:lnSpc>
                              <a:spcPct val="100000"/>
                            </a:lnSpc>
                            <a:spcBef>
                              <a:spcPts val="300"/>
                            </a:spcBef>
                            <a:spcAft>
                              <a:spcPct val="0"/>
                            </a:spcAft>
                            <a:buClrTx/>
                            <a:buSzTx/>
                            <a:buFont typeface="Arial" pitchFamily="34" charset="0"/>
                            <a:buChar char="•"/>
                            <a:tabLst/>
                            <a:defRPr/>
                          </a:pPr>
                          <a:r>
                            <a:rPr lang="en-US" sz="1400" dirty="0" err="1" smtClean="0">
                              <a:latin typeface="Arial Narrow" pitchFamily="34" charset="0"/>
                              <a:ea typeface="Helvetica Neue"/>
                              <a:cs typeface="Helvetica Neue"/>
                            </a:rPr>
                            <a:t>Geocoding</a:t>
                          </a:r>
                          <a:endParaRPr lang="en-US" sz="1400" dirty="0" smtClean="0">
                            <a:latin typeface="Arial Narrow" pitchFamily="34" charset="0"/>
                            <a:ea typeface="Helvetica Neue"/>
                            <a:cs typeface="Helvetica Neue"/>
                          </a:endParaRPr>
                        </a:p>
                        <a:p>
                          <a:pPr marL="342900" marR="0" lvl="0" indent="-342900" algn="l" defTabSz="457200" rtl="0" eaLnBrk="1" fontAlgn="base" latinLnBrk="0" hangingPunct="1">
                            <a:lnSpc>
                              <a:spcPct val="100000"/>
                            </a:lnSpc>
                            <a:spcBef>
                              <a:spcPts val="300"/>
                            </a:spcBef>
                            <a:spcAft>
                              <a:spcPct val="0"/>
                            </a:spcAft>
                            <a:buClrTx/>
                            <a:buSzTx/>
                            <a:buFont typeface="Arial" pitchFamily="34" charset="0"/>
                            <a:buChar char="•"/>
                            <a:tabLst/>
                            <a:defRPr/>
                          </a:pPr>
                          <a:r>
                            <a:rPr kumimoji="0" lang="en-US" sz="1400" b="0" i="0" u="none" strike="noStrike" kern="1200" cap="none" spc="0" normalizeH="0" baseline="0" noProof="0" dirty="0" smtClean="0">
                              <a:ln>
                                <a:noFill/>
                              </a:ln>
                              <a:solidFill>
                                <a:schemeClr val="tx1"/>
                              </a:solidFill>
                              <a:effectLst/>
                              <a:uLnTx/>
                              <a:uFillTx/>
                              <a:latin typeface="Arial Narrow" pitchFamily="34" charset="0"/>
                              <a:ea typeface="Helvetica Neue"/>
                              <a:cs typeface="Helvetica Neue"/>
                            </a:rPr>
                            <a:t>Multimedia Conference</a:t>
                          </a:r>
                        </a:p>
                        <a:p>
                          <a:pPr marL="342900" marR="0" lvl="0" indent="-342900" algn="l" defTabSz="457200" rtl="0" eaLnBrk="1" fontAlgn="base" latinLnBrk="0" hangingPunct="1">
                            <a:lnSpc>
                              <a:spcPct val="100000"/>
                            </a:lnSpc>
                            <a:spcBef>
                              <a:spcPts val="300"/>
                            </a:spcBef>
                            <a:spcAft>
                              <a:spcPct val="0"/>
                            </a:spcAft>
                            <a:buClrTx/>
                            <a:buSzTx/>
                            <a:buFont typeface="Arial" pitchFamily="34" charset="0"/>
                            <a:buChar char="•"/>
                            <a:tabLst/>
                            <a:defRPr/>
                          </a:pPr>
                          <a:r>
                            <a:rPr kumimoji="0" lang="en-US" sz="1400" b="0" i="0" u="none" strike="noStrike" kern="1200" cap="none" spc="0" normalizeH="0" baseline="0" noProof="0" dirty="0" smtClean="0">
                              <a:ln>
                                <a:noFill/>
                              </a:ln>
                              <a:solidFill>
                                <a:schemeClr val="tx1"/>
                              </a:solidFill>
                              <a:effectLst/>
                              <a:uLnTx/>
                              <a:uFillTx/>
                              <a:latin typeface="Arial Narrow" pitchFamily="34" charset="0"/>
                              <a:ea typeface="Helvetica Neue"/>
                              <a:cs typeface="Helvetica Neue"/>
                            </a:rPr>
                            <a:t>Multimedia Messaging</a:t>
                          </a:r>
                        </a:p>
                        <a:p>
                          <a:pPr marL="342900" marR="0" lvl="0" indent="-342900" algn="l" defTabSz="457200" rtl="0" eaLnBrk="1" fontAlgn="base" latinLnBrk="0" hangingPunct="1">
                            <a:lnSpc>
                              <a:spcPct val="100000"/>
                            </a:lnSpc>
                            <a:spcBef>
                              <a:spcPts val="300"/>
                            </a:spcBef>
                            <a:spcAft>
                              <a:spcPct val="0"/>
                            </a:spcAft>
                            <a:buClrTx/>
                            <a:buSzTx/>
                            <a:buFont typeface="Arial" pitchFamily="34" charset="0"/>
                            <a:buChar char="•"/>
                            <a:tabLst/>
                            <a:defRPr/>
                          </a:pPr>
                          <a:r>
                            <a:rPr lang="en-US" sz="1400" dirty="0" smtClean="0">
                              <a:latin typeface="Arial Narrow" pitchFamily="34" charset="0"/>
                              <a:ea typeface="Helvetica Neue"/>
                              <a:cs typeface="Helvetica Neue"/>
                            </a:rPr>
                            <a:t>Multimedia Multicast Session Mgmt</a:t>
                          </a:r>
                        </a:p>
                        <a:p>
                          <a:pPr marL="342900" marR="0" lvl="0" indent="-342900" algn="l" defTabSz="457200" rtl="0" eaLnBrk="1" fontAlgn="base" latinLnBrk="0" hangingPunct="1">
                            <a:lnSpc>
                              <a:spcPct val="100000"/>
                            </a:lnSpc>
                            <a:spcBef>
                              <a:spcPts val="300"/>
                            </a:spcBef>
                            <a:spcAft>
                              <a:spcPct val="0"/>
                            </a:spcAft>
                            <a:buClrTx/>
                            <a:buSzTx/>
                            <a:buFont typeface="Arial" pitchFamily="34" charset="0"/>
                            <a:buChar char="•"/>
                            <a:tabLst/>
                            <a:defRPr/>
                          </a:pPr>
                          <a:r>
                            <a:rPr kumimoji="0" lang="en-US" sz="1400" b="0" i="0" u="none" strike="noStrike" kern="1200" cap="none" spc="0" normalizeH="0" baseline="0" noProof="0" dirty="0" smtClean="0">
                              <a:ln>
                                <a:noFill/>
                              </a:ln>
                              <a:solidFill>
                                <a:schemeClr val="tx1"/>
                              </a:solidFill>
                              <a:effectLst/>
                              <a:uLnTx/>
                              <a:uFillTx/>
                              <a:latin typeface="Arial Narrow" pitchFamily="34" charset="0"/>
                              <a:ea typeface="Helvetica Neue"/>
                              <a:cs typeface="Helvetica Neue"/>
                            </a:rPr>
                            <a:t>Multimedia Streaming Control</a:t>
                          </a:r>
                        </a:p>
                        <a:p>
                          <a:pPr marL="342900" marR="0" lvl="0" indent="-342900" algn="l" defTabSz="457200" rtl="0" eaLnBrk="1" fontAlgn="base" latinLnBrk="0" hangingPunct="1">
                            <a:lnSpc>
                              <a:spcPct val="100000"/>
                            </a:lnSpc>
                            <a:spcBef>
                              <a:spcPts val="300"/>
                            </a:spcBef>
                            <a:spcAft>
                              <a:spcPct val="0"/>
                            </a:spcAft>
                            <a:buClrTx/>
                            <a:buSzTx/>
                            <a:buFont typeface="Arial" pitchFamily="34" charset="0"/>
                            <a:buChar char="•"/>
                            <a:tabLst/>
                            <a:defRPr/>
                          </a:pPr>
                          <a:r>
                            <a:rPr lang="en-US" sz="1400" dirty="0" smtClean="0">
                              <a:latin typeface="Arial Narrow" pitchFamily="34" charset="0"/>
                              <a:ea typeface="Helvetica Neue"/>
                              <a:cs typeface="Helvetica Neue"/>
                            </a:rPr>
                            <a:t>Payment</a:t>
                          </a:r>
                        </a:p>
                        <a:p>
                          <a:pPr marL="342900" marR="0" lvl="0" indent="-342900" algn="l" defTabSz="457200" rtl="0" eaLnBrk="1" fontAlgn="base" latinLnBrk="0" hangingPunct="1">
                            <a:lnSpc>
                              <a:spcPct val="100000"/>
                            </a:lnSpc>
                            <a:spcBef>
                              <a:spcPts val="300"/>
                            </a:spcBef>
                            <a:spcAft>
                              <a:spcPct val="0"/>
                            </a:spcAft>
                            <a:buClrTx/>
                            <a:buSzTx/>
                            <a:buFont typeface="Arial" pitchFamily="34" charset="0"/>
                            <a:buChar char="•"/>
                            <a:tabLst/>
                            <a:defRPr/>
                          </a:pPr>
                          <a:r>
                            <a:rPr kumimoji="0" lang="en-US" sz="1400" b="0" i="0" u="none" strike="noStrike" kern="1200" cap="none" spc="0" normalizeH="0" baseline="0" noProof="0" dirty="0" smtClean="0">
                              <a:ln>
                                <a:noFill/>
                              </a:ln>
                              <a:solidFill>
                                <a:schemeClr val="tx1"/>
                              </a:solidFill>
                              <a:effectLst/>
                              <a:uLnTx/>
                              <a:uFillTx/>
                              <a:latin typeface="Arial Narrow" pitchFamily="34" charset="0"/>
                              <a:ea typeface="Helvetica Neue"/>
                              <a:cs typeface="Helvetica Neue"/>
                            </a:rPr>
                            <a:t>Policy</a:t>
                          </a:r>
                        </a:p>
                        <a:p>
                          <a:pPr marL="342900" marR="0" lvl="0" indent="-342900" algn="l" defTabSz="457200" rtl="0" eaLnBrk="1" fontAlgn="base" latinLnBrk="0" hangingPunct="1">
                            <a:lnSpc>
                              <a:spcPct val="100000"/>
                            </a:lnSpc>
                            <a:spcBef>
                              <a:spcPts val="300"/>
                            </a:spcBef>
                            <a:spcAft>
                              <a:spcPct val="0"/>
                            </a:spcAft>
                            <a:buClrTx/>
                            <a:buSzTx/>
                            <a:buFont typeface="Arial" pitchFamily="34" charset="0"/>
                            <a:buChar char="•"/>
                            <a:tabLst/>
                            <a:defRPr/>
                          </a:pPr>
                          <a:r>
                            <a:rPr lang="en-US" sz="1400" dirty="0" smtClean="0">
                              <a:latin typeface="Arial Narrow" pitchFamily="34" charset="0"/>
                              <a:ea typeface="Helvetica Neue"/>
                              <a:cs typeface="Helvetica Neue"/>
                            </a:rPr>
                            <a:t>Presence</a:t>
                          </a:r>
                        </a:p>
                        <a:p>
                          <a:pPr marL="342900" marR="0" lvl="0" indent="-342900" algn="l" defTabSz="457200" rtl="0" eaLnBrk="1" fontAlgn="base" latinLnBrk="0" hangingPunct="1">
                            <a:lnSpc>
                              <a:spcPct val="100000"/>
                            </a:lnSpc>
                            <a:spcBef>
                              <a:spcPts val="300"/>
                            </a:spcBef>
                            <a:spcAft>
                              <a:spcPct val="0"/>
                            </a:spcAft>
                            <a:buClrTx/>
                            <a:buSzTx/>
                            <a:buFont typeface="Arial" pitchFamily="34" charset="0"/>
                            <a:buChar char="•"/>
                            <a:tabLst/>
                            <a:defRPr/>
                          </a:pPr>
                          <a:r>
                            <a:rPr kumimoji="0" lang="en-US" sz="1400" b="0" i="0" u="none" strike="noStrike" kern="1200" cap="none" spc="0" normalizeH="0" baseline="0" noProof="0" dirty="0" smtClean="0">
                              <a:ln>
                                <a:noFill/>
                              </a:ln>
                              <a:solidFill>
                                <a:schemeClr val="tx1"/>
                              </a:solidFill>
                              <a:effectLst/>
                              <a:uLnTx/>
                              <a:uFillTx/>
                              <a:latin typeface="Arial Narrow" pitchFamily="34" charset="0"/>
                              <a:ea typeface="Helvetica Neue"/>
                              <a:cs typeface="Helvetica Neue"/>
                            </a:rPr>
                            <a:t>Short Messaging</a:t>
                          </a:r>
                        </a:p>
                        <a:p>
                          <a:pPr marL="342900" marR="0" lvl="0" indent="-342900" algn="l" defTabSz="457200" rtl="0" eaLnBrk="1" fontAlgn="base" latinLnBrk="0" hangingPunct="1">
                            <a:lnSpc>
                              <a:spcPct val="100000"/>
                            </a:lnSpc>
                            <a:spcBef>
                              <a:spcPts val="300"/>
                            </a:spcBef>
                            <a:spcAft>
                              <a:spcPct val="0"/>
                            </a:spcAft>
                            <a:buClrTx/>
                            <a:buSzTx/>
                            <a:buFont typeface="Arial" pitchFamily="34" charset="0"/>
                            <a:buChar char="•"/>
                            <a:tabLst/>
                            <a:defRPr/>
                          </a:pPr>
                          <a:r>
                            <a:rPr lang="en-US" sz="1400" dirty="0" smtClean="0">
                              <a:latin typeface="Arial Narrow" pitchFamily="34" charset="0"/>
                              <a:ea typeface="Helvetica Neue"/>
                              <a:cs typeface="Helvetica Neue"/>
                            </a:rPr>
                            <a:t>Terminal Location</a:t>
                          </a:r>
                        </a:p>
                        <a:p>
                          <a:pPr marL="342900" marR="0" lvl="0" indent="-342900" algn="l" defTabSz="457200" rtl="0" eaLnBrk="1" fontAlgn="base" latinLnBrk="0" hangingPunct="1">
                            <a:lnSpc>
                              <a:spcPct val="100000"/>
                            </a:lnSpc>
                            <a:spcBef>
                              <a:spcPts val="300"/>
                            </a:spcBef>
                            <a:spcAft>
                              <a:spcPct val="0"/>
                            </a:spcAft>
                            <a:buClrTx/>
                            <a:buSzTx/>
                            <a:buFont typeface="Arial" pitchFamily="34" charset="0"/>
                            <a:buChar char="•"/>
                            <a:tabLst/>
                            <a:defRPr/>
                          </a:pPr>
                          <a:r>
                            <a:rPr kumimoji="0" lang="en-US" sz="1400" b="0" i="0" u="none" strike="noStrike" kern="1200" cap="none" spc="0" normalizeH="0" baseline="0" noProof="0" dirty="0" smtClean="0">
                              <a:ln>
                                <a:noFill/>
                              </a:ln>
                              <a:solidFill>
                                <a:schemeClr val="tx1"/>
                              </a:solidFill>
                              <a:effectLst/>
                              <a:uLnTx/>
                              <a:uFillTx/>
                              <a:latin typeface="Arial Narrow" pitchFamily="34" charset="0"/>
                              <a:ea typeface="Helvetica Neue"/>
                              <a:cs typeface="Helvetica Neue"/>
                            </a:rPr>
                            <a:t>Terminal Status</a:t>
                          </a:r>
                        </a:p>
                        <a:p>
                          <a:pPr marL="342900" marR="0" lvl="0" indent="-342900" algn="l" defTabSz="457200" rtl="0" eaLnBrk="1" fontAlgn="base" latinLnBrk="0" hangingPunct="1">
                            <a:lnSpc>
                              <a:spcPct val="100000"/>
                            </a:lnSpc>
                            <a:spcBef>
                              <a:spcPts val="300"/>
                            </a:spcBef>
                            <a:spcAft>
                              <a:spcPct val="0"/>
                            </a:spcAft>
                            <a:buClrTx/>
                            <a:buSzTx/>
                            <a:buFont typeface="Arial" pitchFamily="34" charset="0"/>
                            <a:buChar char="•"/>
                            <a:tabLst/>
                            <a:defRPr/>
                          </a:pPr>
                          <a:r>
                            <a:rPr lang="en-US" sz="1400" dirty="0" smtClean="0">
                              <a:latin typeface="Arial Narrow" pitchFamily="34" charset="0"/>
                              <a:ea typeface="Helvetica Neue"/>
                              <a:cs typeface="Helvetica Neue"/>
                            </a:rPr>
                            <a:t>Third Party Call</a:t>
                          </a:r>
                          <a:endParaRPr kumimoji="0" lang="en-US" sz="1400" b="0" i="0" u="none" strike="noStrike" kern="1200" cap="none" spc="0" normalizeH="0" baseline="0" noProof="0" dirty="0" smtClean="0">
                            <a:ln>
                              <a:noFill/>
                            </a:ln>
                            <a:solidFill>
                              <a:schemeClr val="tx1"/>
                            </a:solidFill>
                            <a:effectLst/>
                            <a:uLnTx/>
                            <a:uFillTx/>
                            <a:latin typeface="Arial Narrow" pitchFamily="34" charset="0"/>
                            <a:ea typeface="Helvetica Neue"/>
                            <a:cs typeface="Helvetica Neue"/>
                          </a:endParaRPr>
                        </a:p>
                      </a:txBody>
                      <a:useSpRect/>
                    </a:txSp>
                  </a:sp>
                  <a:sp>
                    <a:nvSpPr>
                      <a:cNvPr id="9" name="TextBox 8"/>
                      <a:cNvSpPr txBox="1"/>
                    </a:nvSpPr>
                    <a:spPr>
                      <a:xfrm>
                        <a:off x="6411078" y="893852"/>
                        <a:ext cx="2332234" cy="369332"/>
                      </a:xfrm>
                      <a:prstGeom prst="rect">
                        <a:avLst/>
                      </a:prstGeom>
                      <a:noFill/>
                    </a:spPr>
                    <a:txSp>
                      <a:txBody>
                        <a:bodyPr wrap="square" rtlCol="0">
                          <a:spAutoFit/>
                        </a:bodyPr>
                        <a:lstStyle>
                          <a:defPPr>
                            <a:defRPr lang="en-US"/>
                          </a:defPPr>
                          <a:lvl1pPr algn="l" defTabSz="457200" rtl="0" fontAlgn="base">
                            <a:spcBef>
                              <a:spcPct val="0"/>
                            </a:spcBef>
                            <a:spcAft>
                              <a:spcPct val="0"/>
                            </a:spcAft>
                            <a:defRPr kern="1200">
                              <a:solidFill>
                                <a:schemeClr val="tx1"/>
                              </a:solidFill>
                              <a:latin typeface="Arial" charset="0"/>
                              <a:ea typeface="+mn-ea"/>
                              <a:cs typeface="Arial" charset="0"/>
                            </a:defRPr>
                          </a:lvl1pPr>
                          <a:lvl2pPr marL="457200" algn="l" defTabSz="457200" rtl="0" fontAlgn="base">
                            <a:spcBef>
                              <a:spcPct val="0"/>
                            </a:spcBef>
                            <a:spcAft>
                              <a:spcPct val="0"/>
                            </a:spcAft>
                            <a:defRPr kern="1200">
                              <a:solidFill>
                                <a:schemeClr val="tx1"/>
                              </a:solidFill>
                              <a:latin typeface="Arial" charset="0"/>
                              <a:ea typeface="+mn-ea"/>
                              <a:cs typeface="Arial" charset="0"/>
                            </a:defRPr>
                          </a:lvl2pPr>
                          <a:lvl3pPr marL="914400" algn="l" defTabSz="457200" rtl="0" fontAlgn="base">
                            <a:spcBef>
                              <a:spcPct val="0"/>
                            </a:spcBef>
                            <a:spcAft>
                              <a:spcPct val="0"/>
                            </a:spcAft>
                            <a:defRPr kern="1200">
                              <a:solidFill>
                                <a:schemeClr val="tx1"/>
                              </a:solidFill>
                              <a:latin typeface="Arial" charset="0"/>
                              <a:ea typeface="+mn-ea"/>
                              <a:cs typeface="Arial" charset="0"/>
                            </a:defRPr>
                          </a:lvl3pPr>
                          <a:lvl4pPr marL="1371600" algn="l" defTabSz="457200" rtl="0" fontAlgn="base">
                            <a:spcBef>
                              <a:spcPct val="0"/>
                            </a:spcBef>
                            <a:spcAft>
                              <a:spcPct val="0"/>
                            </a:spcAft>
                            <a:defRPr kern="1200">
                              <a:solidFill>
                                <a:schemeClr val="tx1"/>
                              </a:solidFill>
                              <a:latin typeface="Arial" charset="0"/>
                              <a:ea typeface="+mn-ea"/>
                              <a:cs typeface="Arial" charset="0"/>
                            </a:defRPr>
                          </a:lvl4pPr>
                          <a:lvl5pPr marL="1828800" algn="l" defTabSz="457200"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en-US" dirty="0" smtClean="0"/>
                            <a:t>SOAP / WSDL APIs</a:t>
                          </a:r>
                          <a:endParaRPr lang="en-US" dirty="0"/>
                        </a:p>
                      </a:txBody>
                      <a:useSpRect/>
                    </a:txSp>
                  </a:sp>
                  <a:sp>
                    <a:nvSpPr>
                      <a:cNvPr id="15" name="Vertical Scroll 14"/>
                      <a:cNvSpPr/>
                    </a:nvSpPr>
                    <a:spPr>
                      <a:xfrm>
                        <a:off x="8743312" y="2044563"/>
                        <a:ext cx="2761116" cy="2059606"/>
                      </a:xfrm>
                      <a:prstGeom prst="verticalScroll">
                        <a:avLst/>
                      </a:prstGeom>
                      <a:gradFill>
                        <a:gsLst>
                          <a:gs pos="0">
                            <a:schemeClr val="accent1">
                              <a:tint val="100000"/>
                              <a:shade val="100000"/>
                              <a:satMod val="130000"/>
                            </a:schemeClr>
                          </a:gs>
                          <a:gs pos="100000">
                            <a:schemeClr val="accent1">
                              <a:tint val="50000"/>
                              <a:shade val="100000"/>
                              <a:satMod val="350000"/>
                            </a:schemeClr>
                          </a:gs>
                        </a:gsLst>
                        <a:lin ang="16200000" scaled="0"/>
                      </a:gradFill>
                      <a:ln>
                        <a:solidFill>
                          <a:schemeClr val="tx1"/>
                        </a:solidFill>
                      </a:ln>
                    </a:spPr>
                    <a:txSp>
                      <a:txBody>
                        <a:bodyPr rtlCol="0" anchor="ctr"/>
                        <a:lstStyle>
                          <a:defPPr>
                            <a:defRPr lang="en-US"/>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1">
                        <a:schemeClr val="accent1"/>
                      </a:lnRef>
                      <a:fillRef idx="3">
                        <a:schemeClr val="accent1"/>
                      </a:fillRef>
                      <a:effectRef idx="2">
                        <a:schemeClr val="accent1"/>
                      </a:effectRef>
                      <a:fontRef idx="minor">
                        <a:schemeClr val="lt1"/>
                      </a:fontRef>
                    </a:style>
                  </a:sp>
                  <a:sp>
                    <a:nvSpPr>
                      <a:cNvPr id="16" name="TextBox 15"/>
                      <a:cNvSpPr txBox="1"/>
                    </a:nvSpPr>
                    <a:spPr>
                      <a:xfrm>
                        <a:off x="9462724" y="2000235"/>
                        <a:ext cx="1701450" cy="369332"/>
                      </a:xfrm>
                      <a:prstGeom prst="rect">
                        <a:avLst/>
                      </a:prstGeom>
                      <a:noFill/>
                    </a:spPr>
                    <a:txSp>
                      <a:txBody>
                        <a:bodyPr wrap="square" rtlCol="0">
                          <a:spAutoFit/>
                        </a:bodyPr>
                        <a:lstStyle>
                          <a:defPPr>
                            <a:defRPr lang="en-US"/>
                          </a:defPPr>
                          <a:lvl1pPr algn="l" defTabSz="457200" rtl="0" fontAlgn="base">
                            <a:spcBef>
                              <a:spcPct val="0"/>
                            </a:spcBef>
                            <a:spcAft>
                              <a:spcPct val="0"/>
                            </a:spcAft>
                            <a:defRPr kern="1200">
                              <a:solidFill>
                                <a:schemeClr val="tx1"/>
                              </a:solidFill>
                              <a:latin typeface="Arial" charset="0"/>
                              <a:ea typeface="+mn-ea"/>
                              <a:cs typeface="Arial" charset="0"/>
                            </a:defRPr>
                          </a:lvl1pPr>
                          <a:lvl2pPr marL="457200" algn="l" defTabSz="457200" rtl="0" fontAlgn="base">
                            <a:spcBef>
                              <a:spcPct val="0"/>
                            </a:spcBef>
                            <a:spcAft>
                              <a:spcPct val="0"/>
                            </a:spcAft>
                            <a:defRPr kern="1200">
                              <a:solidFill>
                                <a:schemeClr val="tx1"/>
                              </a:solidFill>
                              <a:latin typeface="Arial" charset="0"/>
                              <a:ea typeface="+mn-ea"/>
                              <a:cs typeface="Arial" charset="0"/>
                            </a:defRPr>
                          </a:lvl2pPr>
                          <a:lvl3pPr marL="914400" algn="l" defTabSz="457200" rtl="0" fontAlgn="base">
                            <a:spcBef>
                              <a:spcPct val="0"/>
                            </a:spcBef>
                            <a:spcAft>
                              <a:spcPct val="0"/>
                            </a:spcAft>
                            <a:defRPr kern="1200">
                              <a:solidFill>
                                <a:schemeClr val="tx1"/>
                              </a:solidFill>
                              <a:latin typeface="Arial" charset="0"/>
                              <a:ea typeface="+mn-ea"/>
                              <a:cs typeface="Arial" charset="0"/>
                            </a:defRPr>
                          </a:lvl3pPr>
                          <a:lvl4pPr marL="1371600" algn="l" defTabSz="457200" rtl="0" fontAlgn="base">
                            <a:spcBef>
                              <a:spcPct val="0"/>
                            </a:spcBef>
                            <a:spcAft>
                              <a:spcPct val="0"/>
                            </a:spcAft>
                            <a:defRPr kern="1200">
                              <a:solidFill>
                                <a:schemeClr val="tx1"/>
                              </a:solidFill>
                              <a:latin typeface="Arial" charset="0"/>
                              <a:ea typeface="+mn-ea"/>
                              <a:cs typeface="Arial" charset="0"/>
                            </a:defRPr>
                          </a:lvl4pPr>
                          <a:lvl5pPr marL="1828800" algn="l" defTabSz="457200"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r>
                            <a:rPr lang="en-US" dirty="0" smtClean="0"/>
                            <a:t>Device</a:t>
                          </a:r>
                          <a:r>
                            <a:rPr lang="en-US" dirty="0" smtClean="0"/>
                            <a:t> </a:t>
                          </a:r>
                          <a:r>
                            <a:rPr lang="en-US" dirty="0" smtClean="0"/>
                            <a:t>APIs</a:t>
                          </a:r>
                          <a:endParaRPr lang="en-US" dirty="0"/>
                        </a:p>
                      </a:txBody>
                      <a:useSpRect/>
                    </a:txSp>
                  </a:sp>
                  <a:sp>
                    <a:nvSpPr>
                      <a:cNvPr id="17" name="Content Placeholder 4"/>
                      <a:cNvSpPr txBox="1">
                        <a:spLocks/>
                      </a:cNvSpPr>
                    </a:nvSpPr>
                    <a:spPr>
                      <a:xfrm>
                        <a:off x="9004089" y="2430315"/>
                        <a:ext cx="2250041" cy="1535624"/>
                      </a:xfrm>
                      <a:prstGeom prst="rect">
                        <a:avLst/>
                      </a:prstGeom>
                    </a:spPr>
                    <a:txSp>
                      <a:txBody>
                        <a:bodyPr tIns="0" bIns="0"/>
                        <a:lstStyle>
                          <a:defPPr>
                            <a:defRPr lang="en-US"/>
                          </a:defPPr>
                          <a:lvl1pPr algn="l" defTabSz="457200" rtl="0" fontAlgn="base">
                            <a:spcBef>
                              <a:spcPct val="0"/>
                            </a:spcBef>
                            <a:spcAft>
                              <a:spcPct val="0"/>
                            </a:spcAft>
                            <a:defRPr kern="1200">
                              <a:solidFill>
                                <a:schemeClr val="tx1"/>
                              </a:solidFill>
                              <a:latin typeface="Arial" charset="0"/>
                              <a:ea typeface="+mn-ea"/>
                              <a:cs typeface="Arial" charset="0"/>
                            </a:defRPr>
                          </a:lvl1pPr>
                          <a:lvl2pPr marL="457200" algn="l" defTabSz="457200" rtl="0" fontAlgn="base">
                            <a:spcBef>
                              <a:spcPct val="0"/>
                            </a:spcBef>
                            <a:spcAft>
                              <a:spcPct val="0"/>
                            </a:spcAft>
                            <a:defRPr kern="1200">
                              <a:solidFill>
                                <a:schemeClr val="tx1"/>
                              </a:solidFill>
                              <a:latin typeface="Arial" charset="0"/>
                              <a:ea typeface="+mn-ea"/>
                              <a:cs typeface="Arial" charset="0"/>
                            </a:defRPr>
                          </a:lvl2pPr>
                          <a:lvl3pPr marL="914400" algn="l" defTabSz="457200" rtl="0" fontAlgn="base">
                            <a:spcBef>
                              <a:spcPct val="0"/>
                            </a:spcBef>
                            <a:spcAft>
                              <a:spcPct val="0"/>
                            </a:spcAft>
                            <a:defRPr kern="1200">
                              <a:solidFill>
                                <a:schemeClr val="tx1"/>
                              </a:solidFill>
                              <a:latin typeface="Arial" charset="0"/>
                              <a:ea typeface="+mn-ea"/>
                              <a:cs typeface="Arial" charset="0"/>
                            </a:defRPr>
                          </a:lvl3pPr>
                          <a:lvl4pPr marL="1371600" algn="l" defTabSz="457200" rtl="0" fontAlgn="base">
                            <a:spcBef>
                              <a:spcPct val="0"/>
                            </a:spcBef>
                            <a:spcAft>
                              <a:spcPct val="0"/>
                            </a:spcAft>
                            <a:defRPr kern="1200">
                              <a:solidFill>
                                <a:schemeClr val="tx1"/>
                              </a:solidFill>
                              <a:latin typeface="Arial" charset="0"/>
                              <a:ea typeface="+mn-ea"/>
                              <a:cs typeface="Arial" charset="0"/>
                            </a:defRPr>
                          </a:lvl4pPr>
                          <a:lvl5pPr marL="1828800" algn="l" defTabSz="457200" rtl="0" fontAlgn="base">
                            <a:spcBef>
                              <a:spcPct val="0"/>
                            </a:spcBef>
                            <a:spcAft>
                              <a:spcPct val="0"/>
                            </a:spcAft>
                            <a:defRPr kern="1200">
                              <a:solidFill>
                                <a:schemeClr val="tx1"/>
                              </a:solidFill>
                              <a:latin typeface="Arial" charset="0"/>
                              <a:ea typeface="+mn-ea"/>
                              <a:cs typeface="Arial" charset="0"/>
                            </a:defRPr>
                          </a:lvl5pPr>
                          <a:lvl6pPr marL="2286000" algn="l" defTabSz="914400" rtl="0" eaLnBrk="1" latinLnBrk="0" hangingPunct="1">
                            <a:defRPr kern="1200">
                              <a:solidFill>
                                <a:schemeClr val="tx1"/>
                              </a:solidFill>
                              <a:latin typeface="Arial" charset="0"/>
                              <a:ea typeface="+mn-ea"/>
                              <a:cs typeface="Arial" charset="0"/>
                            </a:defRPr>
                          </a:lvl6pPr>
                          <a:lvl7pPr marL="2743200" algn="l" defTabSz="914400" rtl="0" eaLnBrk="1" latinLnBrk="0" hangingPunct="1">
                            <a:defRPr kern="1200">
                              <a:solidFill>
                                <a:schemeClr val="tx1"/>
                              </a:solidFill>
                              <a:latin typeface="Arial" charset="0"/>
                              <a:ea typeface="+mn-ea"/>
                              <a:cs typeface="Arial" charset="0"/>
                            </a:defRPr>
                          </a:lvl7pPr>
                          <a:lvl8pPr marL="3200400" algn="l" defTabSz="914400" rtl="0" eaLnBrk="1" latinLnBrk="0" hangingPunct="1">
                            <a:defRPr kern="1200">
                              <a:solidFill>
                                <a:schemeClr val="tx1"/>
                              </a:solidFill>
                              <a:latin typeface="Arial" charset="0"/>
                              <a:ea typeface="+mn-ea"/>
                              <a:cs typeface="Arial" charset="0"/>
                            </a:defRPr>
                          </a:lvl8pPr>
                          <a:lvl9pPr marL="3657600" algn="l" defTabSz="914400" rtl="0" eaLnBrk="1" latinLnBrk="0" hangingPunct="1">
                            <a:defRPr kern="1200">
                              <a:solidFill>
                                <a:schemeClr val="tx1"/>
                              </a:solidFill>
                              <a:latin typeface="Arial" charset="0"/>
                              <a:ea typeface="+mn-ea"/>
                              <a:cs typeface="Arial" charset="0"/>
                            </a:defRPr>
                          </a:lvl9pPr>
                        </a:lstStyle>
                        <a:p>
                          <a:pPr marL="342900" marR="0" lvl="0" indent="-342900" algn="l" defTabSz="457200" rtl="0" eaLnBrk="1" fontAlgn="base" latinLnBrk="0" hangingPunct="1">
                            <a:lnSpc>
                              <a:spcPct val="100000"/>
                            </a:lnSpc>
                            <a:spcBef>
                              <a:spcPts val="300"/>
                            </a:spcBef>
                            <a:spcAft>
                              <a:spcPct val="0"/>
                            </a:spcAft>
                            <a:buClrTx/>
                            <a:buSzTx/>
                            <a:buFont typeface="Arial" pitchFamily="34" charset="0"/>
                            <a:buChar char="•"/>
                            <a:tabLst/>
                            <a:defRPr/>
                          </a:pPr>
                          <a:r>
                            <a:rPr kumimoji="0" lang="en-US" sz="1400" b="0" i="0" u="none" strike="noStrike" kern="1200" cap="none" spc="0" normalizeH="0" baseline="0" noProof="0" dirty="0" smtClean="0">
                              <a:ln>
                                <a:noFill/>
                              </a:ln>
                              <a:solidFill>
                                <a:schemeClr val="tx1"/>
                              </a:solidFill>
                              <a:effectLst/>
                              <a:uLnTx/>
                              <a:uFillTx/>
                              <a:latin typeface="Arial Narrow" pitchFamily="34" charset="0"/>
                              <a:ea typeface="Helvetica Neue"/>
                              <a:cs typeface="Helvetica Neue"/>
                            </a:rPr>
                            <a:t>WRAPIs</a:t>
                          </a:r>
                          <a:endParaRPr kumimoji="0" lang="en-US" sz="1400" b="0" i="0" u="none" strike="noStrike" kern="1200" cap="none" spc="0" normalizeH="0" baseline="0" noProof="0" dirty="0" smtClean="0">
                            <a:ln>
                              <a:noFill/>
                            </a:ln>
                            <a:solidFill>
                              <a:schemeClr val="tx1"/>
                            </a:solidFill>
                            <a:effectLst/>
                            <a:uLnTx/>
                            <a:uFillTx/>
                            <a:latin typeface="Arial Narrow" pitchFamily="34" charset="0"/>
                            <a:ea typeface="Helvetica Neue"/>
                            <a:cs typeface="Helvetica Neue"/>
                          </a:endParaRPr>
                        </a:p>
                        <a:p>
                          <a:pPr marL="800100" lvl="1" indent="-342900">
                            <a:spcBef>
                              <a:spcPts val="300"/>
                            </a:spcBef>
                            <a:buFont typeface="Arial" pitchFamily="34" charset="0"/>
                            <a:buChar char="•"/>
                            <a:defRPr/>
                          </a:pPr>
                          <a:r>
                            <a:rPr lang="en-US" sz="1400" dirty="0" smtClean="0">
                              <a:latin typeface="Arial Narrow" pitchFamily="34" charset="0"/>
                              <a:ea typeface="Helvetica Neue"/>
                              <a:cs typeface="Helvetica Neue"/>
                            </a:rPr>
                            <a:t>PUSH API</a:t>
                          </a:r>
                          <a:endParaRPr lang="en-US" sz="1400" dirty="0" smtClean="0">
                            <a:latin typeface="Arial Narrow" pitchFamily="34" charset="0"/>
                            <a:ea typeface="Helvetica Neue"/>
                            <a:cs typeface="Helvetica Neue"/>
                          </a:endParaRPr>
                        </a:p>
                        <a:p>
                          <a:pPr marL="342900" marR="0" lvl="0" indent="-342900" algn="l" defTabSz="457200" rtl="0" eaLnBrk="1" fontAlgn="base" latinLnBrk="0" hangingPunct="1">
                            <a:lnSpc>
                              <a:spcPct val="100000"/>
                            </a:lnSpc>
                            <a:spcBef>
                              <a:spcPts val="300"/>
                            </a:spcBef>
                            <a:spcAft>
                              <a:spcPct val="0"/>
                            </a:spcAft>
                            <a:buClrTx/>
                            <a:buSzTx/>
                            <a:buFont typeface="Arial" pitchFamily="34" charset="0"/>
                            <a:buChar char="•"/>
                            <a:tabLst/>
                            <a:defRPr/>
                          </a:pPr>
                          <a:r>
                            <a:rPr kumimoji="0" lang="en-US" sz="1400" b="0" i="0" u="none" strike="noStrike" kern="1200" cap="none" spc="0" normalizeH="0" noProof="0" dirty="0" smtClean="0">
                              <a:ln>
                                <a:noFill/>
                              </a:ln>
                              <a:solidFill>
                                <a:schemeClr val="tx1"/>
                              </a:solidFill>
                              <a:effectLst/>
                              <a:uLnTx/>
                              <a:uFillTx/>
                              <a:latin typeface="Arial Narrow" pitchFamily="34" charset="0"/>
                              <a:ea typeface="Helvetica Neue"/>
                              <a:cs typeface="Helvetica Neue"/>
                            </a:rPr>
                            <a:t>Open Connection Management API</a:t>
                          </a:r>
                          <a:endParaRPr kumimoji="0" lang="en-US" sz="1400" b="0" i="0" u="none" strike="noStrike" kern="1200" cap="none" spc="0" normalizeH="0" noProof="0" dirty="0" smtClean="0">
                            <a:ln>
                              <a:noFill/>
                            </a:ln>
                            <a:solidFill>
                              <a:schemeClr val="tx1"/>
                            </a:solidFill>
                            <a:effectLst/>
                            <a:uLnTx/>
                            <a:uFillTx/>
                            <a:latin typeface="Arial Narrow" pitchFamily="34" charset="0"/>
                            <a:ea typeface="Helvetica Neue"/>
                            <a:cs typeface="Helvetica Neue"/>
                          </a:endParaRPr>
                        </a:p>
                        <a:p>
                          <a:pPr marL="342900" marR="0" lvl="0" indent="-342900" algn="l" defTabSz="457200" rtl="0" eaLnBrk="1" fontAlgn="base" latinLnBrk="0" hangingPunct="1">
                            <a:lnSpc>
                              <a:spcPct val="100000"/>
                            </a:lnSpc>
                            <a:spcBef>
                              <a:spcPts val="300"/>
                            </a:spcBef>
                            <a:spcAft>
                              <a:spcPct val="0"/>
                            </a:spcAft>
                            <a:buClrTx/>
                            <a:buSzTx/>
                            <a:buFont typeface="Arial" pitchFamily="34" charset="0"/>
                            <a:buChar char="•"/>
                            <a:tabLst/>
                            <a:defRPr/>
                          </a:pPr>
                          <a:r>
                            <a:rPr lang="en-US" sz="1400" dirty="0" smtClean="0">
                              <a:latin typeface="Arial Narrow" pitchFamily="34" charset="0"/>
                              <a:ea typeface="Helvetica Neue"/>
                              <a:cs typeface="Helvetica Neue"/>
                            </a:rPr>
                            <a:t>DM Client API Framework</a:t>
                          </a:r>
                          <a:endParaRPr lang="en-US" sz="1400" dirty="0" smtClean="0">
                            <a:latin typeface="Arial Narrow" pitchFamily="34" charset="0"/>
                            <a:ea typeface="Helvetica Neue"/>
                            <a:cs typeface="Helvetica Neue"/>
                          </a:endParaRPr>
                        </a:p>
                        <a:p>
                          <a:pPr marL="342900" marR="0" lvl="0" indent="-342900" algn="l" defTabSz="457200" rtl="0" eaLnBrk="1" fontAlgn="base" latinLnBrk="0" hangingPunct="1">
                            <a:lnSpc>
                              <a:spcPct val="100000"/>
                            </a:lnSpc>
                            <a:spcBef>
                              <a:spcPts val="300"/>
                            </a:spcBef>
                            <a:spcAft>
                              <a:spcPct val="0"/>
                            </a:spcAft>
                            <a:buClrTx/>
                            <a:buSzTx/>
                            <a:buFont typeface="Arial" pitchFamily="34" charset="0"/>
                            <a:buChar char="•"/>
                            <a:tabLst/>
                            <a:defRPr/>
                          </a:pPr>
                          <a:r>
                            <a:rPr lang="en-US" sz="1400" dirty="0" smtClean="0">
                              <a:latin typeface="Arial Narrow" pitchFamily="34" charset="0"/>
                              <a:ea typeface="Helvetica Neue"/>
                              <a:cs typeface="Helvetica Neue"/>
                            </a:rPr>
                            <a:t>Mobile Codes API</a:t>
                          </a:r>
                          <a:endParaRPr kumimoji="0" lang="en-US" sz="1400" b="0" i="0" u="none" strike="noStrike" kern="1200" cap="none" spc="0" normalizeH="0" baseline="0" noProof="0" dirty="0" smtClean="0">
                            <a:ln>
                              <a:noFill/>
                            </a:ln>
                            <a:solidFill>
                              <a:schemeClr val="tx1"/>
                            </a:solidFill>
                            <a:effectLst/>
                            <a:uLnTx/>
                            <a:uFillTx/>
                            <a:latin typeface="Arial Narrow" pitchFamily="34" charset="0"/>
                            <a:ea typeface="Helvetica Neue"/>
                            <a:cs typeface="Helvetica Neue"/>
                          </a:endParaRPr>
                        </a:p>
                      </a:txBody>
                      <a:useSpRect/>
                    </a:txSp>
                  </a:sp>
                </lc:lockedCanvas>
              </a:graphicData>
            </a:graphic>
          </wp:inline>
        </w:drawing>
      </w:r>
    </w:p>
    <w:p w:rsidR="00823A75" w:rsidRPr="002F3818" w:rsidRDefault="00823A75" w:rsidP="00823A75">
      <w:pPr>
        <w:jc w:val="center"/>
        <w:rPr>
          <w:b/>
          <w:bCs/>
        </w:rPr>
      </w:pPr>
      <w:bookmarkStart w:id="1" w:name="_Toc311148526"/>
      <w:r w:rsidRPr="00780334">
        <w:rPr>
          <w:b/>
          <w:bCs/>
        </w:rPr>
        <w:t xml:space="preserve">Figure </w:t>
      </w:r>
      <w:r>
        <w:rPr>
          <w:b/>
          <w:bCs/>
        </w:rPr>
        <w:t>X</w:t>
      </w:r>
      <w:r w:rsidRPr="00780334">
        <w:rPr>
          <w:b/>
          <w:bCs/>
          <w:noProof/>
          <w:lang w:val="en-US"/>
        </w:rPr>
        <w:t xml:space="preserve"> </w:t>
      </w:r>
      <w:r>
        <w:rPr>
          <w:b/>
          <w:bCs/>
          <w:noProof/>
          <w:lang w:val="en-US"/>
        </w:rPr>
        <w:t>–</w:t>
      </w:r>
      <w:r w:rsidRPr="00780334">
        <w:rPr>
          <w:b/>
          <w:bCs/>
          <w:noProof/>
          <w:lang w:val="en-US"/>
        </w:rPr>
        <w:t xml:space="preserve"> </w:t>
      </w:r>
      <w:r>
        <w:rPr>
          <w:b/>
          <w:bCs/>
          <w:noProof/>
          <w:lang w:val="en-US"/>
        </w:rPr>
        <w:t>OMA APIs</w:t>
      </w:r>
      <w:bookmarkEnd w:id="1"/>
    </w:p>
    <w:p w:rsidR="00211A06" w:rsidRPr="00017E06" w:rsidRDefault="00531466" w:rsidP="00211A06">
      <w:pPr>
        <w:pStyle w:val="Heading3"/>
        <w:rPr>
          <w:lang w:eastAsia="ja-JP"/>
        </w:rPr>
      </w:pPr>
      <w:bookmarkStart w:id="2" w:name="_Toc311148507"/>
      <w:r>
        <w:rPr>
          <w:lang w:eastAsia="zh-CN"/>
        </w:rPr>
        <w:t>Gap Analysis</w:t>
      </w:r>
      <w:bookmarkEnd w:id="2"/>
      <w:r w:rsidR="00211A06" w:rsidRPr="00017E06">
        <w:rPr>
          <w:lang w:eastAsia="ja-JP"/>
        </w:rPr>
        <w:t xml:space="preserve"> </w:t>
      </w:r>
    </w:p>
    <w:p w:rsidR="00211A06" w:rsidRDefault="00481DD2" w:rsidP="00EB1CE1">
      <w:pPr>
        <w:jc w:val="both"/>
        <w:rPr>
          <w:lang w:eastAsia="zh-CN"/>
        </w:rPr>
      </w:pPr>
      <w:r>
        <w:rPr>
          <w:lang w:eastAsia="zh-CN"/>
        </w:rPr>
        <w:t xml:space="preserve">Current OMA APIs provide the application developers with the access to a set of network capabilities such as SMS, MMS, LBS, </w:t>
      </w:r>
      <w:r w:rsidR="00EB1CE1">
        <w:rPr>
          <w:lang w:eastAsia="zh-CN"/>
        </w:rPr>
        <w:t xml:space="preserve">Push, voice services, </w:t>
      </w:r>
      <w:r>
        <w:rPr>
          <w:lang w:eastAsia="zh-CN"/>
        </w:rPr>
        <w:t>device capabilities, and contacts</w:t>
      </w:r>
      <w:r w:rsidR="00EB1CE1">
        <w:rPr>
          <w:lang w:eastAsia="zh-CN"/>
        </w:rPr>
        <w:t xml:space="preserve"> / address book</w:t>
      </w:r>
      <w:r>
        <w:rPr>
          <w:lang w:eastAsia="zh-CN"/>
        </w:rPr>
        <w:t xml:space="preserve"> etc. On the other hand, developers </w:t>
      </w:r>
      <w:r w:rsidR="007A62E9">
        <w:rPr>
          <w:lang w:eastAsia="zh-CN"/>
        </w:rPr>
        <w:t xml:space="preserve">now </w:t>
      </w:r>
      <w:r w:rsidR="00EB1CE1">
        <w:rPr>
          <w:lang w:eastAsia="zh-CN"/>
        </w:rPr>
        <w:t xml:space="preserve">need more </w:t>
      </w:r>
      <w:r w:rsidR="007A62E9">
        <w:rPr>
          <w:lang w:eastAsia="zh-CN"/>
        </w:rPr>
        <w:t>APIs at</w:t>
      </w:r>
      <w:r w:rsidR="00EB1CE1">
        <w:rPr>
          <w:lang w:eastAsia="zh-CN"/>
        </w:rPr>
        <w:t xml:space="preserve"> </w:t>
      </w:r>
      <w:r w:rsidR="00E54846">
        <w:rPr>
          <w:lang w:eastAsia="zh-CN"/>
        </w:rPr>
        <w:t xml:space="preserve">enhanced network level as well as </w:t>
      </w:r>
      <w:r w:rsidR="00EB1CE1">
        <w:rPr>
          <w:lang w:eastAsia="zh-CN"/>
        </w:rPr>
        <w:t>service level that enable more advanced applications</w:t>
      </w:r>
      <w:r w:rsidR="007A62E9">
        <w:rPr>
          <w:lang w:eastAsia="zh-CN"/>
        </w:rPr>
        <w:t xml:space="preserve"> with better user experience and new business models. Among those capabilities, </w:t>
      </w:r>
      <w:r w:rsidR="00E54846">
        <w:rPr>
          <w:lang w:eastAsia="zh-CN"/>
        </w:rPr>
        <w:t xml:space="preserve">QoS-Aware Application Support, Network Discovery and Selection for Data Offload, Enhanced Device Management, Consistent and Transparent Authentication agnostics of network and application, </w:t>
      </w:r>
      <w:r w:rsidR="007A62E9">
        <w:rPr>
          <w:lang w:eastAsia="zh-CN"/>
        </w:rPr>
        <w:t xml:space="preserve">Advertising, </w:t>
      </w:r>
      <w:r w:rsidR="003976F6">
        <w:rPr>
          <w:lang w:eastAsia="zh-CN"/>
        </w:rPr>
        <w:t xml:space="preserve">Mobile Coupons, </w:t>
      </w:r>
      <w:r w:rsidR="007A62E9">
        <w:rPr>
          <w:lang w:eastAsia="zh-CN"/>
        </w:rPr>
        <w:t xml:space="preserve">Speech Recognition / Speech-To-Text in cloud, </w:t>
      </w:r>
      <w:r w:rsidR="003976F6">
        <w:rPr>
          <w:lang w:eastAsia="zh-CN"/>
        </w:rPr>
        <w:t xml:space="preserve">Personal Cloud / </w:t>
      </w:r>
      <w:r w:rsidR="007A62E9">
        <w:rPr>
          <w:lang w:eastAsia="zh-CN"/>
        </w:rPr>
        <w:t xml:space="preserve">Storage-as-a-Service, Social Networking, User Content Management, </w:t>
      </w:r>
      <w:r w:rsidR="0071154D">
        <w:rPr>
          <w:lang w:eastAsia="zh-CN"/>
        </w:rPr>
        <w:t xml:space="preserve">Mapping and Navigation, </w:t>
      </w:r>
      <w:r w:rsidR="003976F6">
        <w:rPr>
          <w:lang w:eastAsia="zh-CN"/>
        </w:rPr>
        <w:t xml:space="preserve">Calendar, VoD </w:t>
      </w:r>
      <w:r w:rsidR="00E54846">
        <w:rPr>
          <w:lang w:eastAsia="zh-CN"/>
        </w:rPr>
        <w:t>etc. are the top needs from the developers.</w:t>
      </w:r>
    </w:p>
    <w:p w:rsidR="003976F6" w:rsidRDefault="00252032" w:rsidP="00516788">
      <w:pPr>
        <w:jc w:val="both"/>
        <w:rPr>
          <w:lang w:eastAsia="zh-CN"/>
        </w:rPr>
      </w:pPr>
      <w:r>
        <w:rPr>
          <w:lang w:eastAsia="zh-CN"/>
        </w:rPr>
        <w:t xml:space="preserve">For example, </w:t>
      </w:r>
      <w:r w:rsidR="003976F6">
        <w:rPr>
          <w:lang w:eastAsia="zh-CN"/>
        </w:rPr>
        <w:t>QoS-Aware Application Support</w:t>
      </w:r>
      <w:r>
        <w:rPr>
          <w:lang w:eastAsia="zh-CN"/>
        </w:rPr>
        <w:t xml:space="preserve"> will</w:t>
      </w:r>
      <w:r w:rsidR="003976F6">
        <w:rPr>
          <w:lang w:eastAsia="zh-CN"/>
        </w:rPr>
        <w:t xml:space="preserve"> enable t</w:t>
      </w:r>
      <w:r w:rsidR="003976F6" w:rsidRPr="000E28C8">
        <w:rPr>
          <w:lang w:eastAsia="zh-CN"/>
        </w:rPr>
        <w:t>he</w:t>
      </w:r>
      <w:r w:rsidR="003976F6">
        <w:rPr>
          <w:lang w:eastAsia="zh-CN"/>
        </w:rPr>
        <w:t xml:space="preserve"> applications and/or </w:t>
      </w:r>
      <w:r w:rsidR="003976F6" w:rsidRPr="000E28C8">
        <w:rPr>
          <w:lang w:eastAsia="zh-CN"/>
        </w:rPr>
        <w:t>use</w:t>
      </w:r>
      <w:r>
        <w:rPr>
          <w:lang w:eastAsia="zh-CN"/>
        </w:rPr>
        <w:t>rs to</w:t>
      </w:r>
      <w:r w:rsidR="003976F6" w:rsidRPr="000E28C8">
        <w:rPr>
          <w:lang w:eastAsia="zh-CN"/>
        </w:rPr>
        <w:t xml:space="preserve"> identify</w:t>
      </w:r>
      <w:r w:rsidR="003976F6">
        <w:rPr>
          <w:lang w:eastAsia="zh-CN"/>
        </w:rPr>
        <w:t xml:space="preserve"> the network condition</w:t>
      </w:r>
      <w:r w:rsidR="003976F6" w:rsidRPr="000E28C8">
        <w:rPr>
          <w:lang w:eastAsia="zh-CN"/>
        </w:rPr>
        <w:t xml:space="preserve"> and </w:t>
      </w:r>
      <w:r w:rsidR="003976F6">
        <w:rPr>
          <w:lang w:eastAsia="zh-CN"/>
        </w:rPr>
        <w:t>handle traffic i</w:t>
      </w:r>
      <w:r w:rsidR="00516788">
        <w:rPr>
          <w:lang w:eastAsia="zh-CN"/>
        </w:rPr>
        <w:t xml:space="preserve">n an optimized way, including the ability </w:t>
      </w:r>
      <w:r w:rsidR="003976F6">
        <w:rPr>
          <w:lang w:eastAsia="zh-CN"/>
        </w:rPr>
        <w:t>for application to request QoS-enhanced bearers</w:t>
      </w:r>
      <w:r w:rsidR="00516788">
        <w:rPr>
          <w:lang w:eastAsia="zh-CN"/>
        </w:rPr>
        <w:t>, t</w:t>
      </w:r>
      <w:r w:rsidR="003976F6" w:rsidRPr="00516788">
        <w:rPr>
          <w:lang w:val="en-US" w:eastAsia="zh-CN"/>
        </w:rPr>
        <w:t>he ability for application to uniquely specify which bearer that traffic flow needs to be directed</w:t>
      </w:r>
      <w:r w:rsidR="00516788">
        <w:rPr>
          <w:lang w:val="en-US" w:eastAsia="zh-CN"/>
        </w:rPr>
        <w:t xml:space="preserve">, </w:t>
      </w:r>
      <w:r w:rsidR="00516788">
        <w:rPr>
          <w:lang w:eastAsia="zh-CN"/>
        </w:rPr>
        <w:t>t</w:t>
      </w:r>
      <w:r w:rsidR="003976F6">
        <w:rPr>
          <w:lang w:eastAsia="zh-CN"/>
        </w:rPr>
        <w:t xml:space="preserve">he ability to handle the </w:t>
      </w:r>
      <w:r w:rsidR="003976F6" w:rsidRPr="00F37EDD">
        <w:rPr>
          <w:lang w:eastAsia="zh-CN"/>
        </w:rPr>
        <w:t>a</w:t>
      </w:r>
      <w:r w:rsidR="003976F6">
        <w:rPr>
          <w:lang w:eastAsia="zh-CN"/>
        </w:rPr>
        <w:t>dmission control failures</w:t>
      </w:r>
      <w:r w:rsidR="00516788">
        <w:rPr>
          <w:lang w:eastAsia="zh-CN"/>
        </w:rPr>
        <w:t xml:space="preserve"> and t</w:t>
      </w:r>
      <w:r w:rsidR="003976F6">
        <w:rPr>
          <w:lang w:eastAsia="zh-CN"/>
        </w:rPr>
        <w:t xml:space="preserve">he ability to handle the </w:t>
      </w:r>
      <w:r w:rsidR="003976F6" w:rsidRPr="00F07B49">
        <w:rPr>
          <w:lang w:eastAsia="zh-CN"/>
        </w:rPr>
        <w:t xml:space="preserve">mid-session failures </w:t>
      </w:r>
      <w:r w:rsidR="003976F6">
        <w:rPr>
          <w:lang w:eastAsia="zh-CN"/>
        </w:rPr>
        <w:t xml:space="preserve">/ </w:t>
      </w:r>
      <w:r w:rsidR="003976F6" w:rsidRPr="00F07B49">
        <w:rPr>
          <w:lang w:eastAsia="zh-CN"/>
        </w:rPr>
        <w:t>inability to sustain QoS</w:t>
      </w:r>
      <w:r w:rsidR="00516788">
        <w:rPr>
          <w:lang w:eastAsia="zh-CN"/>
        </w:rPr>
        <w:t>.</w:t>
      </w:r>
    </w:p>
    <w:p w:rsidR="003976F6" w:rsidRDefault="0085126F" w:rsidP="0085126F">
      <w:pPr>
        <w:jc w:val="both"/>
        <w:rPr>
          <w:lang w:eastAsia="zh-CN"/>
        </w:rPr>
      </w:pPr>
      <w:r>
        <w:rPr>
          <w:lang w:eastAsia="zh-CN"/>
        </w:rPr>
        <w:t xml:space="preserve">Secondly, </w:t>
      </w:r>
      <w:r w:rsidR="003976F6">
        <w:rPr>
          <w:lang w:eastAsia="zh-CN"/>
        </w:rPr>
        <w:t xml:space="preserve">Network Discovery and Selection for Data Offload </w:t>
      </w:r>
      <w:r>
        <w:rPr>
          <w:lang w:eastAsia="zh-CN"/>
        </w:rPr>
        <w:t>will</w:t>
      </w:r>
      <w:r w:rsidR="003976F6">
        <w:rPr>
          <w:lang w:eastAsia="zh-CN"/>
        </w:rPr>
        <w:t xml:space="preserve"> enable application</w:t>
      </w:r>
      <w:r w:rsidR="003976F6" w:rsidRPr="004B215A">
        <w:rPr>
          <w:lang w:eastAsia="zh-CN"/>
        </w:rPr>
        <w:t xml:space="preserve"> and network operator to discover and select the most appropriate network based on network conditions </w:t>
      </w:r>
      <w:r w:rsidR="003976F6">
        <w:rPr>
          <w:lang w:eastAsia="zh-CN"/>
        </w:rPr>
        <w:t xml:space="preserve">and operator’s </w:t>
      </w:r>
      <w:r w:rsidR="003976F6" w:rsidRPr="004B215A">
        <w:rPr>
          <w:lang w:eastAsia="zh-CN"/>
        </w:rPr>
        <w:t xml:space="preserve">policies, </w:t>
      </w:r>
      <w:r w:rsidR="003976F6">
        <w:rPr>
          <w:lang w:eastAsia="zh-CN"/>
        </w:rPr>
        <w:t>terminal</w:t>
      </w:r>
      <w:r w:rsidR="003976F6" w:rsidRPr="004B215A">
        <w:rPr>
          <w:lang w:eastAsia="zh-CN"/>
        </w:rPr>
        <w:t xml:space="preserve"> status and location</w:t>
      </w:r>
      <w:r w:rsidR="003976F6">
        <w:rPr>
          <w:lang w:eastAsia="zh-CN"/>
        </w:rPr>
        <w:t>, an</w:t>
      </w:r>
      <w:r>
        <w:rPr>
          <w:lang w:eastAsia="zh-CN"/>
        </w:rPr>
        <w:t>d user preferences, which needs a s</w:t>
      </w:r>
      <w:r w:rsidR="003976F6">
        <w:rPr>
          <w:lang w:eastAsia="zh-CN"/>
        </w:rPr>
        <w:t>tandard set of APIs</w:t>
      </w:r>
      <w:r w:rsidR="003976F6" w:rsidRPr="002B4AC6">
        <w:rPr>
          <w:lang w:eastAsia="zh-CN"/>
        </w:rPr>
        <w:t xml:space="preserve"> for multi-RAN and WiFi network discovery and location awareness</w:t>
      </w:r>
      <w:r>
        <w:rPr>
          <w:lang w:eastAsia="zh-CN"/>
        </w:rPr>
        <w:t xml:space="preserve">, and </w:t>
      </w:r>
      <w:r w:rsidR="003976F6">
        <w:rPr>
          <w:lang w:eastAsia="zh-CN"/>
        </w:rPr>
        <w:t>for</w:t>
      </w:r>
      <w:r w:rsidR="003976F6" w:rsidRPr="002B4AC6">
        <w:rPr>
          <w:lang w:eastAsia="zh-CN"/>
        </w:rPr>
        <w:t xml:space="preserve"> network selection </w:t>
      </w:r>
      <w:r w:rsidR="003976F6">
        <w:rPr>
          <w:lang w:eastAsia="zh-CN"/>
        </w:rPr>
        <w:t xml:space="preserve">based on </w:t>
      </w:r>
      <w:r w:rsidR="003976F6" w:rsidRPr="002B4AC6">
        <w:rPr>
          <w:lang w:eastAsia="zh-CN"/>
        </w:rPr>
        <w:t xml:space="preserve">network conditions </w:t>
      </w:r>
      <w:r w:rsidR="003976F6">
        <w:rPr>
          <w:lang w:eastAsia="zh-CN"/>
        </w:rPr>
        <w:t>and</w:t>
      </w:r>
      <w:r w:rsidR="003976F6" w:rsidRPr="002B4AC6">
        <w:rPr>
          <w:lang w:eastAsia="zh-CN"/>
        </w:rPr>
        <w:t xml:space="preserve"> operator</w:t>
      </w:r>
      <w:r w:rsidR="003976F6">
        <w:rPr>
          <w:lang w:eastAsia="zh-CN"/>
        </w:rPr>
        <w:t>’s</w:t>
      </w:r>
      <w:r w:rsidR="003976F6" w:rsidRPr="002B4AC6">
        <w:rPr>
          <w:lang w:eastAsia="zh-CN"/>
        </w:rPr>
        <w:t xml:space="preserve"> policies, location, user preferred list, and application type</w:t>
      </w:r>
      <w:r>
        <w:rPr>
          <w:lang w:eastAsia="zh-CN"/>
        </w:rPr>
        <w:t>. It also needs a d</w:t>
      </w:r>
      <w:r w:rsidR="003976F6" w:rsidRPr="00CD2E1B">
        <w:rPr>
          <w:lang w:eastAsia="zh-CN"/>
        </w:rPr>
        <w:t>ual network connectivity to allow specific applications (e.g. voice) to remain on cellular network while other</w:t>
      </w:r>
      <w:r w:rsidR="003976F6">
        <w:rPr>
          <w:lang w:eastAsia="zh-CN"/>
        </w:rPr>
        <w:t>s</w:t>
      </w:r>
      <w:r w:rsidR="003976F6" w:rsidRPr="00CD2E1B">
        <w:rPr>
          <w:lang w:eastAsia="zh-CN"/>
        </w:rPr>
        <w:t xml:space="preserve"> are offloaded to non-cellular</w:t>
      </w:r>
      <w:r w:rsidR="003976F6">
        <w:rPr>
          <w:lang w:eastAsia="zh-CN"/>
        </w:rPr>
        <w:t xml:space="preserve"> network</w:t>
      </w:r>
      <w:r>
        <w:rPr>
          <w:lang w:eastAsia="zh-CN"/>
        </w:rPr>
        <w:t xml:space="preserve">, and the </w:t>
      </w:r>
      <w:r w:rsidR="003976F6" w:rsidRPr="00CD2E1B">
        <w:rPr>
          <w:lang w:eastAsia="zh-CN"/>
        </w:rPr>
        <w:t>API and mechanism to detect Redirection and Captive Portals</w:t>
      </w:r>
      <w:r>
        <w:rPr>
          <w:lang w:eastAsia="zh-CN"/>
        </w:rPr>
        <w:t>.</w:t>
      </w:r>
    </w:p>
    <w:p w:rsidR="003976F6" w:rsidRPr="0002522B" w:rsidRDefault="0002522B" w:rsidP="0002522B">
      <w:pPr>
        <w:jc w:val="both"/>
        <w:rPr>
          <w:lang w:eastAsia="zh-CN"/>
        </w:rPr>
      </w:pPr>
      <w:r>
        <w:rPr>
          <w:lang w:eastAsia="zh-CN"/>
        </w:rPr>
        <w:t xml:space="preserve">The </w:t>
      </w:r>
      <w:r w:rsidR="003976F6">
        <w:rPr>
          <w:lang w:eastAsia="zh-CN"/>
        </w:rPr>
        <w:t>Enhanced Device Management and APIs</w:t>
      </w:r>
      <w:r>
        <w:rPr>
          <w:lang w:eastAsia="zh-CN"/>
        </w:rPr>
        <w:t>, on the other hand, will use the</w:t>
      </w:r>
      <w:r w:rsidR="003976F6" w:rsidRPr="006F6ED5">
        <w:rPr>
          <w:lang w:eastAsia="zh-CN"/>
        </w:rPr>
        <w:t xml:space="preserve"> device and application information and monitoring to enable features such a</w:t>
      </w:r>
      <w:r>
        <w:rPr>
          <w:lang w:eastAsia="zh-CN"/>
        </w:rPr>
        <w:t xml:space="preserve">s </w:t>
      </w:r>
      <w:r w:rsidR="003976F6">
        <w:rPr>
          <w:lang w:eastAsia="zh-CN"/>
        </w:rPr>
        <w:t>C</w:t>
      </w:r>
      <w:r w:rsidR="003976F6" w:rsidRPr="006F6ED5">
        <w:rPr>
          <w:lang w:eastAsia="zh-CN"/>
        </w:rPr>
        <w:t>entralized deployment</w:t>
      </w:r>
      <w:r w:rsidR="003976F6">
        <w:t xml:space="preserve"> and software distribution mechanism through the control of access to the public markets</w:t>
      </w:r>
      <w:r>
        <w:t>,</w:t>
      </w:r>
      <w:r>
        <w:rPr>
          <w:lang w:eastAsia="zh-CN"/>
        </w:rPr>
        <w:t xml:space="preserve"> </w:t>
      </w:r>
      <w:r w:rsidR="003976F6">
        <w:rPr>
          <w:lang w:eastAsia="zh-CN"/>
        </w:rPr>
        <w:t>GPS-based tracking</w:t>
      </w:r>
      <w:r>
        <w:rPr>
          <w:lang w:eastAsia="zh-CN"/>
        </w:rPr>
        <w:t xml:space="preserve">, </w:t>
      </w:r>
      <w:r w:rsidR="003976F6">
        <w:rPr>
          <w:lang w:eastAsia="zh-CN"/>
        </w:rPr>
        <w:t>A</w:t>
      </w:r>
      <w:r>
        <w:rPr>
          <w:lang w:eastAsia="zh-CN"/>
        </w:rPr>
        <w:t>sset M</w:t>
      </w:r>
      <w:r w:rsidR="003976F6" w:rsidRPr="006F6ED5">
        <w:rPr>
          <w:lang w:eastAsia="zh-CN"/>
        </w:rPr>
        <w:t>anagement</w:t>
      </w:r>
      <w:r>
        <w:rPr>
          <w:lang w:eastAsia="zh-CN"/>
        </w:rPr>
        <w:t>, Parental C</w:t>
      </w:r>
      <w:r w:rsidR="003976F6">
        <w:rPr>
          <w:lang w:eastAsia="zh-CN"/>
        </w:rPr>
        <w:t>ontrol</w:t>
      </w:r>
      <w:r>
        <w:rPr>
          <w:lang w:eastAsia="zh-CN"/>
        </w:rPr>
        <w:t>, the a</w:t>
      </w:r>
      <w:r w:rsidR="003976F6">
        <w:t>bility to drive a VPN from a specific application rather than from OS</w:t>
      </w:r>
      <w:r>
        <w:t>, and a</w:t>
      </w:r>
      <w:r w:rsidR="003976F6" w:rsidRPr="0002522B">
        <w:rPr>
          <w:lang w:val="en-US" w:eastAsia="zh-CN"/>
        </w:rPr>
        <w:t>nti-virus scan APIs</w:t>
      </w:r>
      <w:r>
        <w:rPr>
          <w:lang w:val="en-US" w:eastAsia="zh-CN"/>
        </w:rPr>
        <w:t>.</w:t>
      </w:r>
    </w:p>
    <w:p w:rsidR="003976F6" w:rsidRDefault="00FA76A6" w:rsidP="00FA76A6">
      <w:pPr>
        <w:jc w:val="both"/>
        <w:rPr>
          <w:lang w:eastAsia="zh-CN"/>
        </w:rPr>
      </w:pPr>
      <w:r>
        <w:rPr>
          <w:lang w:eastAsia="zh-CN"/>
        </w:rPr>
        <w:t xml:space="preserve">The </w:t>
      </w:r>
      <w:r w:rsidR="003976F6">
        <w:rPr>
          <w:lang w:eastAsia="zh-CN"/>
        </w:rPr>
        <w:t xml:space="preserve">Consistent and Transparent Authentication, which is agnostics of network and application, </w:t>
      </w:r>
      <w:r>
        <w:rPr>
          <w:lang w:eastAsia="zh-CN"/>
        </w:rPr>
        <w:t xml:space="preserve">is </w:t>
      </w:r>
      <w:r w:rsidR="003976F6" w:rsidRPr="00975426">
        <w:rPr>
          <w:lang w:eastAsia="zh-CN"/>
        </w:rPr>
        <w:t xml:space="preserve">for network and application authentication </w:t>
      </w:r>
      <w:r w:rsidR="003976F6">
        <w:rPr>
          <w:lang w:eastAsia="zh-CN"/>
        </w:rPr>
        <w:t xml:space="preserve">with </w:t>
      </w:r>
      <w:r w:rsidR="003976F6" w:rsidRPr="00975426">
        <w:rPr>
          <w:lang w:eastAsia="zh-CN"/>
        </w:rPr>
        <w:t>existin</w:t>
      </w:r>
      <w:r w:rsidR="003976F6">
        <w:rPr>
          <w:lang w:eastAsia="zh-CN"/>
        </w:rPr>
        <w:t>g mobile subs</w:t>
      </w:r>
      <w:r>
        <w:rPr>
          <w:lang w:eastAsia="zh-CN"/>
        </w:rPr>
        <w:t>criber credentials, for example, a standard set of APIs leveraging</w:t>
      </w:r>
      <w:r w:rsidR="003976F6" w:rsidRPr="00F065D2">
        <w:rPr>
          <w:lang w:eastAsia="zh-CN"/>
        </w:rPr>
        <w:t xml:space="preserve"> existing mobile subscriber credentials (e.g. contained with UICC, either IMSI, NAI, etc.) for WiFi authentication</w:t>
      </w:r>
      <w:r>
        <w:rPr>
          <w:lang w:eastAsia="zh-CN"/>
        </w:rPr>
        <w:t xml:space="preserve"> and application authentication, </w:t>
      </w:r>
      <w:r w:rsidR="003976F6" w:rsidRPr="00F065D2">
        <w:rPr>
          <w:lang w:eastAsia="zh-CN"/>
        </w:rPr>
        <w:t>EAP-SIM and EAP-AKA authentication support</w:t>
      </w:r>
      <w:r>
        <w:rPr>
          <w:lang w:eastAsia="zh-CN"/>
        </w:rPr>
        <w:t xml:space="preserve"> and s</w:t>
      </w:r>
      <w:r w:rsidR="003976F6" w:rsidRPr="00F065D2">
        <w:rPr>
          <w:lang w:eastAsia="zh-CN"/>
        </w:rPr>
        <w:t>tandardized IPSec and TLS API</w:t>
      </w:r>
      <w:r>
        <w:rPr>
          <w:lang w:eastAsia="zh-CN"/>
        </w:rPr>
        <w:t>s.</w:t>
      </w:r>
    </w:p>
    <w:p w:rsidR="003976F6" w:rsidRPr="00017E06" w:rsidRDefault="003976F6" w:rsidP="00EB1CE1">
      <w:pPr>
        <w:jc w:val="both"/>
        <w:rPr>
          <w:lang w:eastAsia="zh-CN"/>
        </w:rPr>
      </w:pPr>
    </w:p>
    <w:p w:rsidR="00E15272" w:rsidRDefault="00AB51FE" w:rsidP="00403DD4">
      <w:pPr>
        <w:pStyle w:val="AltChangeList"/>
      </w:pPr>
      <w:r>
        <w:t>TBD</w:t>
      </w:r>
    </w:p>
    <w:p w:rsidR="00AB51FE" w:rsidRPr="007D2AA5" w:rsidRDefault="00AB51FE" w:rsidP="007D2AA5">
      <w:pPr>
        <w:rPr>
          <w:dstrike/>
          <w:lang w:val="en-US"/>
        </w:rPr>
      </w:pPr>
    </w:p>
    <w:p w:rsidR="00E15272" w:rsidRDefault="00017E06">
      <w:pPr>
        <w:pStyle w:val="AltChangeList"/>
      </w:pPr>
      <w:r>
        <w:t>TBD</w:t>
      </w:r>
    </w:p>
    <w:p w:rsidR="00E15272" w:rsidRPr="005B6738" w:rsidRDefault="00E15272">
      <w:pPr>
        <w:pStyle w:val="AltNormal"/>
      </w:pPr>
    </w:p>
    <w:sectPr w:rsidR="00E15272" w:rsidRPr="005B6738" w:rsidSect="00B22410">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5AB3" w:rsidRDefault="000F5AB3">
      <w:r>
        <w:separator/>
      </w:r>
    </w:p>
  </w:endnote>
  <w:endnote w:type="continuationSeparator" w:id="0">
    <w:p w:rsidR="000F5AB3" w:rsidRDefault="000F5A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Su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Narrow">
    <w:panose1 w:val="020B0506020202030204"/>
    <w:charset w:val="00"/>
    <w:family w:val="swiss"/>
    <w:pitch w:val="variable"/>
    <w:sig w:usb0="00000287" w:usb1="00000800"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1D3CE1">
    <w:pPr>
      <w:pStyle w:val="Footer"/>
      <w:tabs>
        <w:tab w:val="clear" w:pos="9900"/>
        <w:tab w:val="right" w:pos="10080"/>
      </w:tabs>
      <w:spacing w:line="180" w:lineRule="exact"/>
    </w:pPr>
    <w:r>
      <w:rPr>
        <w:sz w:val="18"/>
      </w:rPr>
      <w:t>© 2012</w:t>
    </w:r>
    <w:r w:rsidR="00CA5639">
      <w:rPr>
        <w:sz w:val="18"/>
      </w:rPr>
      <w:t xml:space="preserve"> Open Mobile Alliance Ltd.  All Rights Reserved.</w:t>
    </w:r>
    <w:r w:rsidR="00CA5639">
      <w:rPr>
        <w:sz w:val="18"/>
      </w:rPr>
      <w:tab/>
      <w:t xml:space="preserve">Page </w:t>
    </w:r>
    <w:r w:rsidR="005E0F48">
      <w:rPr>
        <w:rStyle w:val="PageNumber"/>
        <w:sz w:val="18"/>
      </w:rPr>
      <w:fldChar w:fldCharType="begin"/>
    </w:r>
    <w:r w:rsidR="00CA5639">
      <w:rPr>
        <w:rStyle w:val="PageNumber"/>
        <w:sz w:val="18"/>
      </w:rPr>
      <w:instrText xml:space="preserve"> PAGE </w:instrText>
    </w:r>
    <w:r w:rsidR="005E0F48">
      <w:rPr>
        <w:rStyle w:val="PageNumber"/>
        <w:sz w:val="18"/>
      </w:rPr>
      <w:fldChar w:fldCharType="separate"/>
    </w:r>
    <w:r w:rsidR="00B666F7">
      <w:rPr>
        <w:rStyle w:val="PageNumber"/>
        <w:noProof/>
        <w:sz w:val="18"/>
      </w:rPr>
      <w:t>3</w:t>
    </w:r>
    <w:r w:rsidR="005E0F48">
      <w:rPr>
        <w:rStyle w:val="PageNumber"/>
        <w:sz w:val="18"/>
      </w:rPr>
      <w:fldChar w:fldCharType="end"/>
    </w:r>
    <w:r w:rsidR="00CA5639">
      <w:rPr>
        <w:rStyle w:val="PageNumber"/>
        <w:sz w:val="18"/>
      </w:rPr>
      <w:t xml:space="preserve"> (of </w:t>
    </w:r>
    <w:r w:rsidR="005E0F48">
      <w:rPr>
        <w:rStyle w:val="PageNumber"/>
        <w:sz w:val="18"/>
      </w:rPr>
      <w:fldChar w:fldCharType="begin"/>
    </w:r>
    <w:r w:rsidR="00CA5639">
      <w:rPr>
        <w:rStyle w:val="PageNumber"/>
        <w:sz w:val="18"/>
      </w:rPr>
      <w:instrText xml:space="preserve"> NUMPAGES </w:instrText>
    </w:r>
    <w:r w:rsidR="005E0F48">
      <w:rPr>
        <w:rStyle w:val="PageNumber"/>
        <w:sz w:val="18"/>
      </w:rPr>
      <w:fldChar w:fldCharType="separate"/>
    </w:r>
    <w:r w:rsidR="00B666F7">
      <w:rPr>
        <w:rStyle w:val="PageNumber"/>
        <w:noProof/>
        <w:sz w:val="18"/>
      </w:rPr>
      <w:t>3</w:t>
    </w:r>
    <w:r w:rsidR="005E0F48">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5E0F48">
      <w:rPr>
        <w:sz w:val="18"/>
      </w:rPr>
      <w:fldChar w:fldCharType="begin"/>
    </w:r>
    <w:r w:rsidR="00CA5639">
      <w:rPr>
        <w:rStyle w:val="PageNumber"/>
        <w:sz w:val="18"/>
      </w:rPr>
      <w:instrText xml:space="preserve"> REF Template \h </w:instrText>
    </w:r>
    <w:r w:rsidR="005E0F48">
      <w:rPr>
        <w:sz w:val="18"/>
      </w:rPr>
    </w:r>
    <w:r w:rsidR="005E0F48">
      <w:rPr>
        <w:sz w:val="18"/>
      </w:rPr>
      <w:fldChar w:fldCharType="separate"/>
    </w:r>
    <w:r>
      <w:rPr>
        <w:color w:val="999999"/>
        <w:sz w:val="10"/>
      </w:rPr>
      <w:t>[OMA-Template-ChangeRequest-2012</w:t>
    </w:r>
    <w:r w:rsidR="000D0D34">
      <w:rPr>
        <w:color w:val="999999"/>
        <w:sz w:val="10"/>
      </w:rPr>
      <w:t>0101-I]</w:t>
    </w:r>
    <w:r w:rsidR="005E0F48">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1D3CE1">
    <w:pPr>
      <w:pStyle w:val="Footer"/>
      <w:tabs>
        <w:tab w:val="clear" w:pos="9900"/>
        <w:tab w:val="right" w:pos="10080"/>
      </w:tabs>
      <w:spacing w:line="180" w:lineRule="exact"/>
      <w:rPr>
        <w:color w:val="999999"/>
        <w:sz w:val="10"/>
      </w:rPr>
    </w:pPr>
    <w:r>
      <w:rPr>
        <w:sz w:val="18"/>
      </w:rPr>
      <w:t>© 2012</w:t>
    </w:r>
    <w:r w:rsidR="00CA5639">
      <w:rPr>
        <w:sz w:val="18"/>
      </w:rPr>
      <w:t xml:space="preserve"> Open Mobile Alliance Ltd.  All Rights Reserved.</w:t>
    </w:r>
    <w:r w:rsidR="00CA5639">
      <w:rPr>
        <w:sz w:val="18"/>
      </w:rPr>
      <w:tab/>
      <w:t xml:space="preserve">Page </w:t>
    </w:r>
    <w:r w:rsidR="005E0F48">
      <w:rPr>
        <w:rStyle w:val="PageNumber"/>
        <w:sz w:val="18"/>
      </w:rPr>
      <w:fldChar w:fldCharType="begin"/>
    </w:r>
    <w:r w:rsidR="00CA5639">
      <w:rPr>
        <w:rStyle w:val="PageNumber"/>
        <w:sz w:val="18"/>
      </w:rPr>
      <w:instrText xml:space="preserve"> PAGE </w:instrText>
    </w:r>
    <w:r w:rsidR="005E0F48">
      <w:rPr>
        <w:rStyle w:val="PageNumber"/>
        <w:sz w:val="18"/>
      </w:rPr>
      <w:fldChar w:fldCharType="separate"/>
    </w:r>
    <w:r w:rsidR="00B666F7">
      <w:rPr>
        <w:rStyle w:val="PageNumber"/>
        <w:noProof/>
        <w:sz w:val="18"/>
      </w:rPr>
      <w:t>1</w:t>
    </w:r>
    <w:r w:rsidR="005E0F48">
      <w:rPr>
        <w:rStyle w:val="PageNumber"/>
        <w:sz w:val="18"/>
      </w:rPr>
      <w:fldChar w:fldCharType="end"/>
    </w:r>
    <w:r w:rsidR="00CA5639">
      <w:rPr>
        <w:rStyle w:val="PageNumber"/>
        <w:sz w:val="18"/>
      </w:rPr>
      <w:t xml:space="preserve"> (of </w:t>
    </w:r>
    <w:r w:rsidR="005E0F48">
      <w:rPr>
        <w:rStyle w:val="PageNumber"/>
        <w:sz w:val="18"/>
      </w:rPr>
      <w:fldChar w:fldCharType="begin"/>
    </w:r>
    <w:r w:rsidR="00CA5639">
      <w:rPr>
        <w:rStyle w:val="PageNumber"/>
        <w:sz w:val="18"/>
      </w:rPr>
      <w:instrText xml:space="preserve"> NUMPAGES </w:instrText>
    </w:r>
    <w:r w:rsidR="005E0F48">
      <w:rPr>
        <w:rStyle w:val="PageNumber"/>
        <w:sz w:val="18"/>
      </w:rPr>
      <w:fldChar w:fldCharType="separate"/>
    </w:r>
    <w:r w:rsidR="00B666F7">
      <w:rPr>
        <w:rStyle w:val="PageNumber"/>
        <w:noProof/>
        <w:sz w:val="18"/>
      </w:rPr>
      <w:t>3</w:t>
    </w:r>
    <w:r w:rsidR="005E0F48">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 w:name="Template"/>
    <w:r>
      <w:rPr>
        <w:color w:val="999999"/>
        <w:sz w:val="10"/>
      </w:rPr>
      <w:t>[OMA-Template-ChangeRequest-2012</w:t>
    </w:r>
    <w:r w:rsidR="00411A36">
      <w:rPr>
        <w:color w:val="999999"/>
        <w:sz w:val="10"/>
      </w:rPr>
      <w:t>0101</w:t>
    </w:r>
    <w:r w:rsidR="00CA5639">
      <w:rPr>
        <w:color w:val="999999"/>
        <w:sz w:val="10"/>
      </w:rPr>
      <w:t>-I]</w:t>
    </w:r>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5AB3" w:rsidRDefault="000F5AB3">
      <w:r>
        <w:separator/>
      </w:r>
    </w:p>
  </w:footnote>
  <w:footnote w:type="continuationSeparator" w:id="0">
    <w:p w:rsidR="000F5AB3" w:rsidRDefault="000F5A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5E0F48">
      <w:rPr>
        <w:sz w:val="18"/>
        <w:lang w:val="nl-BE"/>
      </w:rPr>
      <w:fldChar w:fldCharType="begin"/>
    </w:r>
    <w:r w:rsidR="00ED7C36">
      <w:rPr>
        <w:sz w:val="18"/>
        <w:lang w:val="nl-BE"/>
      </w:rPr>
      <w:instrText xml:space="preserve"> FILENAME </w:instrText>
    </w:r>
    <w:r w:rsidR="005E0F48">
      <w:rPr>
        <w:sz w:val="18"/>
        <w:lang w:val="nl-BE"/>
      </w:rPr>
      <w:fldChar w:fldCharType="separate"/>
    </w:r>
    <w:r w:rsidR="000D0D34">
      <w:rPr>
        <w:noProof/>
        <w:sz w:val="18"/>
        <w:lang w:val="nl-BE"/>
      </w:rPr>
      <w:t>OMA</w:t>
    </w:r>
    <w:r w:rsidR="00452E6D">
      <w:rPr>
        <w:noProof/>
        <w:sz w:val="18"/>
        <w:lang w:val="nl-BE"/>
      </w:rPr>
      <w:t>-BOD-CLOUD-2012-0001</w:t>
    </w:r>
    <w:r w:rsidR="001D3CE1">
      <w:rPr>
        <w:noProof/>
        <w:sz w:val="18"/>
        <w:lang w:val="nl-BE"/>
      </w:rPr>
      <w:t>-CR_</w:t>
    </w:r>
    <w:r w:rsidR="002C12B7">
      <w:rPr>
        <w:noProof/>
        <w:sz w:val="18"/>
        <w:lang w:val="nl-BE"/>
      </w:rPr>
      <w:t>Enhance_API</w:t>
    </w:r>
    <w:r w:rsidR="001D3CE1">
      <w:rPr>
        <w:noProof/>
        <w:sz w:val="18"/>
        <w:lang w:val="nl-BE"/>
      </w:rPr>
      <w:t>_Cap</w:t>
    </w:r>
    <w:r w:rsidR="002C12B7">
      <w:rPr>
        <w:noProof/>
        <w:sz w:val="18"/>
        <w:lang w:val="nl-BE"/>
      </w:rPr>
      <w:t>abilities</w:t>
    </w:r>
    <w:r w:rsidR="000D0D34">
      <w:rPr>
        <w:noProof/>
        <w:sz w:val="18"/>
        <w:lang w:val="nl-BE"/>
      </w:rPr>
      <w:t>.docx</w:t>
    </w:r>
    <w:r w:rsidR="005E0F48">
      <w:rPr>
        <w:sz w:val="18"/>
        <w:lang w:val="nl-BE"/>
      </w:rPr>
      <w:fldChar w:fldCharType="end"/>
    </w:r>
    <w:r w:rsidR="00E5424C">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5E0F48">
      <w:rPr>
        <w:sz w:val="18"/>
        <w:lang w:val="nl-BE"/>
      </w:rPr>
      <w:fldChar w:fldCharType="begin"/>
    </w:r>
    <w:r>
      <w:rPr>
        <w:sz w:val="18"/>
        <w:lang w:val="nl-BE"/>
      </w:rPr>
      <w:instrText xml:space="preserve"> FILENAME </w:instrText>
    </w:r>
    <w:r w:rsidR="005E0F48">
      <w:rPr>
        <w:sz w:val="18"/>
        <w:lang w:val="nl-BE"/>
      </w:rPr>
      <w:fldChar w:fldCharType="separate"/>
    </w:r>
    <w:r w:rsidR="001D3CE1">
      <w:rPr>
        <w:noProof/>
        <w:sz w:val="18"/>
        <w:lang w:val="nl-BE"/>
      </w:rPr>
      <w:t>OMA-BOD-CLOUD-2012</w:t>
    </w:r>
    <w:r w:rsidR="00452E6D">
      <w:rPr>
        <w:noProof/>
        <w:sz w:val="18"/>
        <w:lang w:val="nl-BE"/>
      </w:rPr>
      <w:t>-0001</w:t>
    </w:r>
    <w:r w:rsidR="000D0D34">
      <w:rPr>
        <w:noProof/>
        <w:sz w:val="18"/>
        <w:lang w:val="nl-BE"/>
      </w:rPr>
      <w:t>-CR_</w:t>
    </w:r>
    <w:r w:rsidR="00653A4D">
      <w:rPr>
        <w:noProof/>
        <w:sz w:val="18"/>
        <w:lang w:val="nl-BE"/>
      </w:rPr>
      <w:t>Enhance</w:t>
    </w:r>
    <w:r w:rsidR="001D3CE1">
      <w:rPr>
        <w:noProof/>
        <w:sz w:val="18"/>
        <w:lang w:val="nl-BE"/>
      </w:rPr>
      <w:t>_</w:t>
    </w:r>
    <w:r w:rsidR="00653A4D">
      <w:rPr>
        <w:noProof/>
        <w:sz w:val="18"/>
        <w:lang w:val="nl-BE"/>
      </w:rPr>
      <w:t>API_Capabilities</w:t>
    </w:r>
    <w:r w:rsidR="000D0D34">
      <w:rPr>
        <w:noProof/>
        <w:sz w:val="18"/>
        <w:lang w:val="nl-BE"/>
      </w:rPr>
      <w:t>.docx</w:t>
    </w:r>
    <w:r w:rsidR="005E0F48">
      <w:rPr>
        <w:sz w:val="18"/>
        <w:lang w:val="nl-BE"/>
      </w:rPr>
      <w:fldChar w:fldCharType="end"/>
    </w:r>
    <w:r w:rsidR="00E5424C">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443A"/>
    <w:multiLevelType w:val="hybridMultilevel"/>
    <w:tmpl w:val="E85A77EE"/>
    <w:lvl w:ilvl="0" w:tplc="34E20FAE">
      <w:start w:val="4"/>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
    <w:nsid w:val="00B67408"/>
    <w:multiLevelType w:val="hybridMultilevel"/>
    <w:tmpl w:val="3EF6DB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8B41204"/>
    <w:multiLevelType w:val="hybridMultilevel"/>
    <w:tmpl w:val="BC881D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954186C"/>
    <w:multiLevelType w:val="multilevel"/>
    <w:tmpl w:val="50BA5B3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0E6565EE"/>
    <w:multiLevelType w:val="hybridMultilevel"/>
    <w:tmpl w:val="46D6D7E2"/>
    <w:lvl w:ilvl="0" w:tplc="B1D00EA8">
      <w:start w:val="8"/>
      <w:numFmt w:val="bullet"/>
      <w:lvlText w:val="-"/>
      <w:lvlJc w:val="left"/>
      <w:pPr>
        <w:ind w:left="720" w:hanging="360"/>
      </w:pPr>
      <w:rPr>
        <w:rFonts w:ascii="Times New Roman" w:eastAsia="SimSun" w:hAnsi="Times New Roman" w:cs="Times New Roman" w:hint="default"/>
      </w:rPr>
    </w:lvl>
    <w:lvl w:ilvl="1" w:tplc="907A25BA">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6D0F20"/>
    <w:multiLevelType w:val="multilevel"/>
    <w:tmpl w:val="C3B8F4B6"/>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F1656B1"/>
    <w:multiLevelType w:val="hybridMultilevel"/>
    <w:tmpl w:val="01AEDE48"/>
    <w:lvl w:ilvl="0" w:tplc="257434DC">
      <w:numFmt w:val="bullet"/>
      <w:lvlText w:val="-"/>
      <w:lvlJc w:val="left"/>
      <w:pPr>
        <w:ind w:left="720" w:hanging="360"/>
      </w:pPr>
      <w:rPr>
        <w:rFonts w:ascii="Times New Roman" w:eastAsia="SimSu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319567C2"/>
    <w:multiLevelType w:val="hybridMultilevel"/>
    <w:tmpl w:val="AD425BC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32076C5B"/>
    <w:multiLevelType w:val="multilevel"/>
    <w:tmpl w:val="7CF2C89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BB3779F"/>
    <w:multiLevelType w:val="hybridMultilevel"/>
    <w:tmpl w:val="8694412E"/>
    <w:lvl w:ilvl="0" w:tplc="5A667BC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D10258B"/>
    <w:multiLevelType w:val="hybridMultilevel"/>
    <w:tmpl w:val="863296B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4D2F48C9"/>
    <w:multiLevelType w:val="hybridMultilevel"/>
    <w:tmpl w:val="E62E26F4"/>
    <w:lvl w:ilvl="0" w:tplc="EA507C2A">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136FB4"/>
    <w:multiLevelType w:val="hybridMultilevel"/>
    <w:tmpl w:val="DC08BFB2"/>
    <w:lvl w:ilvl="0" w:tplc="A72AA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39D6C65"/>
    <w:multiLevelType w:val="hybridMultilevel"/>
    <w:tmpl w:val="3B409A76"/>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5B6A43A2"/>
    <w:multiLevelType w:val="hybridMultilevel"/>
    <w:tmpl w:val="E5929AA8"/>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nsid w:val="6218713C"/>
    <w:multiLevelType w:val="hybridMultilevel"/>
    <w:tmpl w:val="944CD300"/>
    <w:lvl w:ilvl="0" w:tplc="F7C4B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50F32D2"/>
    <w:multiLevelType w:val="hybridMultilevel"/>
    <w:tmpl w:val="C94E496E"/>
    <w:lvl w:ilvl="0" w:tplc="5C64F6AC">
      <w:numFmt w:val="bullet"/>
      <w:lvlText w:val="•"/>
      <w:lvlJc w:val="left"/>
      <w:pPr>
        <w:ind w:left="1440" w:hanging="720"/>
      </w:pPr>
      <w:rPr>
        <w:rFonts w:ascii="Times New Roman" w:eastAsia="SimSu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5">
    <w:nsid w:val="654C5D82"/>
    <w:multiLevelType w:val="hybridMultilevel"/>
    <w:tmpl w:val="7BC24098"/>
    <w:lvl w:ilvl="0" w:tplc="5C70BE6C">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C70BE6C">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6A0C109F"/>
    <w:multiLevelType w:val="hybridMultilevel"/>
    <w:tmpl w:val="CEE0E9BC"/>
    <w:lvl w:ilvl="0" w:tplc="5C64F6AC">
      <w:numFmt w:val="bullet"/>
      <w:lvlText w:val="•"/>
      <w:lvlJc w:val="left"/>
      <w:pPr>
        <w:ind w:left="1440" w:hanging="720"/>
      </w:pPr>
      <w:rPr>
        <w:rFonts w:ascii="Times New Roman" w:eastAsia="SimSu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7CB75AE4"/>
    <w:multiLevelType w:val="hybridMultilevel"/>
    <w:tmpl w:val="A9A46980"/>
    <w:lvl w:ilvl="0" w:tplc="257434D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9"/>
  </w:num>
  <w:num w:numId="3">
    <w:abstractNumId w:val="14"/>
  </w:num>
  <w:num w:numId="4">
    <w:abstractNumId w:val="7"/>
  </w:num>
  <w:num w:numId="5">
    <w:abstractNumId w:val="11"/>
  </w:num>
  <w:num w:numId="6">
    <w:abstractNumId w:val="26"/>
  </w:num>
  <w:num w:numId="7">
    <w:abstractNumId w:val="29"/>
  </w:num>
  <w:num w:numId="8">
    <w:abstractNumId w:val="13"/>
  </w:num>
  <w:num w:numId="9">
    <w:abstractNumId w:val="2"/>
  </w:num>
  <w:num w:numId="10">
    <w:abstractNumId w:val="28"/>
  </w:num>
  <w:num w:numId="11">
    <w:abstractNumId w:val="22"/>
  </w:num>
  <w:num w:numId="12">
    <w:abstractNumId w:val="17"/>
  </w:num>
  <w:num w:numId="13">
    <w:abstractNumId w:val="20"/>
  </w:num>
  <w:num w:numId="14">
    <w:abstractNumId w:val="6"/>
  </w:num>
  <w:num w:numId="15">
    <w:abstractNumId w:val="1"/>
  </w:num>
  <w:num w:numId="16">
    <w:abstractNumId w:val="16"/>
  </w:num>
  <w:num w:numId="17">
    <w:abstractNumId w:val="25"/>
  </w:num>
  <w:num w:numId="18">
    <w:abstractNumId w:val="30"/>
  </w:num>
  <w:num w:numId="19">
    <w:abstractNumId w:val="21"/>
  </w:num>
  <w:num w:numId="20">
    <w:abstractNumId w:val="27"/>
  </w:num>
  <w:num w:numId="21">
    <w:abstractNumId w:val="24"/>
  </w:num>
  <w:num w:numId="22">
    <w:abstractNumId w:val="9"/>
  </w:num>
  <w:num w:numId="23">
    <w:abstractNumId w:val="3"/>
  </w:num>
  <w:num w:numId="24">
    <w:abstractNumId w:val="15"/>
  </w:num>
  <w:num w:numId="25">
    <w:abstractNumId w:val="8"/>
  </w:num>
  <w:num w:numId="26">
    <w:abstractNumId w:val="0"/>
  </w:num>
  <w:num w:numId="27">
    <w:abstractNumId w:val="4"/>
  </w:num>
  <w:num w:numId="28">
    <w:abstractNumId w:val="10"/>
  </w:num>
  <w:num w:numId="29">
    <w:abstractNumId w:val="12"/>
  </w:num>
  <w:num w:numId="30">
    <w:abstractNumId w:val="18"/>
  </w:num>
  <w:num w:numId="31">
    <w:abstractNumId w:val="2"/>
    <w:lvlOverride w:ilvl="0">
      <w:startOverride w:val="7"/>
    </w:lvlOverride>
    <w:lvlOverride w:ilvl="1">
      <w:startOverride w:val="3"/>
    </w:lvlOverride>
  </w:num>
  <w:num w:numId="32">
    <w:abstractNumId w:val="2"/>
    <w:lvlOverride w:ilvl="0">
      <w:startOverride w:val="7"/>
    </w:lvlOverride>
    <w:lvlOverride w:ilvl="1">
      <w:startOverride w:val="3"/>
    </w:lvlOverride>
  </w:num>
  <w:num w:numId="33">
    <w:abstractNumId w:val="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7"/>
  <w:stylePaneFormatFilter w:val="3F01"/>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79874"/>
  </w:hdrShapeDefaults>
  <w:footnotePr>
    <w:footnote w:id="-1"/>
    <w:footnote w:id="0"/>
  </w:footnotePr>
  <w:endnotePr>
    <w:endnote w:id="-1"/>
    <w:endnote w:id="0"/>
  </w:endnotePr>
  <w:compat>
    <w:useFELayout/>
  </w:compat>
  <w:rsids>
    <w:rsidRoot w:val="00E15272"/>
    <w:rsid w:val="00007CDD"/>
    <w:rsid w:val="00017E06"/>
    <w:rsid w:val="00022510"/>
    <w:rsid w:val="0002522B"/>
    <w:rsid w:val="00025332"/>
    <w:rsid w:val="00034DF2"/>
    <w:rsid w:val="00041AF8"/>
    <w:rsid w:val="00045830"/>
    <w:rsid w:val="00055CB5"/>
    <w:rsid w:val="000604ED"/>
    <w:rsid w:val="00061EBD"/>
    <w:rsid w:val="000700B5"/>
    <w:rsid w:val="000821AD"/>
    <w:rsid w:val="0008292B"/>
    <w:rsid w:val="00086744"/>
    <w:rsid w:val="00092BAE"/>
    <w:rsid w:val="000C07FC"/>
    <w:rsid w:val="000C76C8"/>
    <w:rsid w:val="000D0D34"/>
    <w:rsid w:val="000E4B24"/>
    <w:rsid w:val="000F5AB3"/>
    <w:rsid w:val="0010236A"/>
    <w:rsid w:val="00113101"/>
    <w:rsid w:val="00125E03"/>
    <w:rsid w:val="001309DF"/>
    <w:rsid w:val="00131DDF"/>
    <w:rsid w:val="00132982"/>
    <w:rsid w:val="001450D6"/>
    <w:rsid w:val="00145DBA"/>
    <w:rsid w:val="001545CB"/>
    <w:rsid w:val="00162362"/>
    <w:rsid w:val="0017795B"/>
    <w:rsid w:val="0018517D"/>
    <w:rsid w:val="00192EDE"/>
    <w:rsid w:val="00194BDA"/>
    <w:rsid w:val="00195FCE"/>
    <w:rsid w:val="001A2D39"/>
    <w:rsid w:val="001B7886"/>
    <w:rsid w:val="001C16B7"/>
    <w:rsid w:val="001D3CE1"/>
    <w:rsid w:val="001F1A83"/>
    <w:rsid w:val="00205716"/>
    <w:rsid w:val="00211A06"/>
    <w:rsid w:val="00215CF2"/>
    <w:rsid w:val="00223153"/>
    <w:rsid w:val="00225EA5"/>
    <w:rsid w:val="0023173E"/>
    <w:rsid w:val="00237C74"/>
    <w:rsid w:val="00237FB8"/>
    <w:rsid w:val="00243AA7"/>
    <w:rsid w:val="00252032"/>
    <w:rsid w:val="0025569C"/>
    <w:rsid w:val="00257394"/>
    <w:rsid w:val="00264587"/>
    <w:rsid w:val="00294D5B"/>
    <w:rsid w:val="00295BA1"/>
    <w:rsid w:val="002A5EE9"/>
    <w:rsid w:val="002B08D4"/>
    <w:rsid w:val="002B179A"/>
    <w:rsid w:val="002C12B7"/>
    <w:rsid w:val="002C63FD"/>
    <w:rsid w:val="002D24AA"/>
    <w:rsid w:val="002E18C7"/>
    <w:rsid w:val="002F3818"/>
    <w:rsid w:val="00303ACD"/>
    <w:rsid w:val="003041C5"/>
    <w:rsid w:val="003067C8"/>
    <w:rsid w:val="00316532"/>
    <w:rsid w:val="00322FE2"/>
    <w:rsid w:val="0032782A"/>
    <w:rsid w:val="00357E4C"/>
    <w:rsid w:val="00364BAF"/>
    <w:rsid w:val="0036514F"/>
    <w:rsid w:val="00371493"/>
    <w:rsid w:val="00374DEE"/>
    <w:rsid w:val="0038165A"/>
    <w:rsid w:val="003976F6"/>
    <w:rsid w:val="003A1EB7"/>
    <w:rsid w:val="003C5326"/>
    <w:rsid w:val="003C585F"/>
    <w:rsid w:val="003F06DA"/>
    <w:rsid w:val="003F0B7E"/>
    <w:rsid w:val="00403DD4"/>
    <w:rsid w:val="00411A36"/>
    <w:rsid w:val="004160F3"/>
    <w:rsid w:val="0041681F"/>
    <w:rsid w:val="00421C39"/>
    <w:rsid w:val="004265B4"/>
    <w:rsid w:val="00430433"/>
    <w:rsid w:val="00435C90"/>
    <w:rsid w:val="00435E9B"/>
    <w:rsid w:val="00441653"/>
    <w:rsid w:val="0044463A"/>
    <w:rsid w:val="004456FD"/>
    <w:rsid w:val="00447770"/>
    <w:rsid w:val="00452E6D"/>
    <w:rsid w:val="004569F4"/>
    <w:rsid w:val="00460724"/>
    <w:rsid w:val="00461C8E"/>
    <w:rsid w:val="00473C27"/>
    <w:rsid w:val="00473EFE"/>
    <w:rsid w:val="00481DD2"/>
    <w:rsid w:val="00483DD0"/>
    <w:rsid w:val="004A6592"/>
    <w:rsid w:val="004B0B17"/>
    <w:rsid w:val="004B190E"/>
    <w:rsid w:val="004B2965"/>
    <w:rsid w:val="004C09AE"/>
    <w:rsid w:val="004D1B8B"/>
    <w:rsid w:val="004D271C"/>
    <w:rsid w:val="004D2D2C"/>
    <w:rsid w:val="004F0E47"/>
    <w:rsid w:val="004F4548"/>
    <w:rsid w:val="004F47F7"/>
    <w:rsid w:val="004F77B6"/>
    <w:rsid w:val="00510803"/>
    <w:rsid w:val="00516788"/>
    <w:rsid w:val="00516FEC"/>
    <w:rsid w:val="00527673"/>
    <w:rsid w:val="00531466"/>
    <w:rsid w:val="00532394"/>
    <w:rsid w:val="00532EA1"/>
    <w:rsid w:val="0053412B"/>
    <w:rsid w:val="00546F3B"/>
    <w:rsid w:val="00551051"/>
    <w:rsid w:val="005552D2"/>
    <w:rsid w:val="0056750F"/>
    <w:rsid w:val="005849EB"/>
    <w:rsid w:val="00590DCF"/>
    <w:rsid w:val="005A2AE6"/>
    <w:rsid w:val="005A2F3C"/>
    <w:rsid w:val="005A3A00"/>
    <w:rsid w:val="005A5EEA"/>
    <w:rsid w:val="005B1CFA"/>
    <w:rsid w:val="005B6738"/>
    <w:rsid w:val="005D660C"/>
    <w:rsid w:val="005E0F48"/>
    <w:rsid w:val="005F25DD"/>
    <w:rsid w:val="005F272C"/>
    <w:rsid w:val="0060606F"/>
    <w:rsid w:val="00616BD7"/>
    <w:rsid w:val="00626387"/>
    <w:rsid w:val="006300A0"/>
    <w:rsid w:val="00640938"/>
    <w:rsid w:val="00653A4D"/>
    <w:rsid w:val="006735F4"/>
    <w:rsid w:val="006759D8"/>
    <w:rsid w:val="00691A95"/>
    <w:rsid w:val="006970C2"/>
    <w:rsid w:val="0069722D"/>
    <w:rsid w:val="00697269"/>
    <w:rsid w:val="006A5AEC"/>
    <w:rsid w:val="006C4892"/>
    <w:rsid w:val="006D4F50"/>
    <w:rsid w:val="006D6BE8"/>
    <w:rsid w:val="006D7832"/>
    <w:rsid w:val="006F192B"/>
    <w:rsid w:val="006F39F2"/>
    <w:rsid w:val="007078FA"/>
    <w:rsid w:val="0071154D"/>
    <w:rsid w:val="00712280"/>
    <w:rsid w:val="007155C1"/>
    <w:rsid w:val="00767C26"/>
    <w:rsid w:val="00780AC7"/>
    <w:rsid w:val="00781F55"/>
    <w:rsid w:val="00786D09"/>
    <w:rsid w:val="0079123C"/>
    <w:rsid w:val="007A62E9"/>
    <w:rsid w:val="007B190F"/>
    <w:rsid w:val="007B4D86"/>
    <w:rsid w:val="007B66E3"/>
    <w:rsid w:val="007B6976"/>
    <w:rsid w:val="007C0C19"/>
    <w:rsid w:val="007C26EC"/>
    <w:rsid w:val="007D064E"/>
    <w:rsid w:val="007D212E"/>
    <w:rsid w:val="007D2AA5"/>
    <w:rsid w:val="007F2244"/>
    <w:rsid w:val="007F2F19"/>
    <w:rsid w:val="007F504C"/>
    <w:rsid w:val="00800109"/>
    <w:rsid w:val="008103F4"/>
    <w:rsid w:val="0081270E"/>
    <w:rsid w:val="008160B7"/>
    <w:rsid w:val="0082248D"/>
    <w:rsid w:val="00822F1B"/>
    <w:rsid w:val="00823A75"/>
    <w:rsid w:val="008252EB"/>
    <w:rsid w:val="00831C93"/>
    <w:rsid w:val="00841517"/>
    <w:rsid w:val="008505D5"/>
    <w:rsid w:val="0085126F"/>
    <w:rsid w:val="00861BDA"/>
    <w:rsid w:val="0088287B"/>
    <w:rsid w:val="00883105"/>
    <w:rsid w:val="00892E91"/>
    <w:rsid w:val="008B202E"/>
    <w:rsid w:val="008B5577"/>
    <w:rsid w:val="008B6434"/>
    <w:rsid w:val="008B7111"/>
    <w:rsid w:val="008C2207"/>
    <w:rsid w:val="008F5B17"/>
    <w:rsid w:val="00903358"/>
    <w:rsid w:val="009208C0"/>
    <w:rsid w:val="009235DE"/>
    <w:rsid w:val="00930AF1"/>
    <w:rsid w:val="0095250B"/>
    <w:rsid w:val="00957488"/>
    <w:rsid w:val="0096346F"/>
    <w:rsid w:val="009756C9"/>
    <w:rsid w:val="00980263"/>
    <w:rsid w:val="00984014"/>
    <w:rsid w:val="00986EAC"/>
    <w:rsid w:val="009873C0"/>
    <w:rsid w:val="009A240F"/>
    <w:rsid w:val="009A29C4"/>
    <w:rsid w:val="009C4D9C"/>
    <w:rsid w:val="009C76C9"/>
    <w:rsid w:val="009D5FBF"/>
    <w:rsid w:val="009D75CD"/>
    <w:rsid w:val="009E07AE"/>
    <w:rsid w:val="009E3AAF"/>
    <w:rsid w:val="009E4E8F"/>
    <w:rsid w:val="009F4DC4"/>
    <w:rsid w:val="00A15715"/>
    <w:rsid w:val="00A32B8E"/>
    <w:rsid w:val="00A44D90"/>
    <w:rsid w:val="00A5177B"/>
    <w:rsid w:val="00A537AC"/>
    <w:rsid w:val="00A558F5"/>
    <w:rsid w:val="00A601F5"/>
    <w:rsid w:val="00A6162B"/>
    <w:rsid w:val="00A86ACA"/>
    <w:rsid w:val="00A945A9"/>
    <w:rsid w:val="00AA53C4"/>
    <w:rsid w:val="00AB177C"/>
    <w:rsid w:val="00AB51FE"/>
    <w:rsid w:val="00AB6502"/>
    <w:rsid w:val="00AD3073"/>
    <w:rsid w:val="00AE00EA"/>
    <w:rsid w:val="00AE300B"/>
    <w:rsid w:val="00AE4E4F"/>
    <w:rsid w:val="00AE73CC"/>
    <w:rsid w:val="00AE7849"/>
    <w:rsid w:val="00AF4C28"/>
    <w:rsid w:val="00B1416E"/>
    <w:rsid w:val="00B168E6"/>
    <w:rsid w:val="00B169AB"/>
    <w:rsid w:val="00B17151"/>
    <w:rsid w:val="00B22410"/>
    <w:rsid w:val="00B27112"/>
    <w:rsid w:val="00B2745F"/>
    <w:rsid w:val="00B30C1D"/>
    <w:rsid w:val="00B37070"/>
    <w:rsid w:val="00B5538F"/>
    <w:rsid w:val="00B61062"/>
    <w:rsid w:val="00B6357E"/>
    <w:rsid w:val="00B666F7"/>
    <w:rsid w:val="00BB09CA"/>
    <w:rsid w:val="00BB4979"/>
    <w:rsid w:val="00BC1673"/>
    <w:rsid w:val="00BD6109"/>
    <w:rsid w:val="00BF3BBB"/>
    <w:rsid w:val="00C038A3"/>
    <w:rsid w:val="00C10DB9"/>
    <w:rsid w:val="00C10EDC"/>
    <w:rsid w:val="00C11F8E"/>
    <w:rsid w:val="00C40A8E"/>
    <w:rsid w:val="00C446CB"/>
    <w:rsid w:val="00C57C50"/>
    <w:rsid w:val="00C66FBD"/>
    <w:rsid w:val="00C9198B"/>
    <w:rsid w:val="00CA1D95"/>
    <w:rsid w:val="00CA52A8"/>
    <w:rsid w:val="00CA5639"/>
    <w:rsid w:val="00CB4E35"/>
    <w:rsid w:val="00CE06C2"/>
    <w:rsid w:val="00CE31B8"/>
    <w:rsid w:val="00D05E12"/>
    <w:rsid w:val="00D22E1C"/>
    <w:rsid w:val="00D30904"/>
    <w:rsid w:val="00D34D1B"/>
    <w:rsid w:val="00D44849"/>
    <w:rsid w:val="00D45494"/>
    <w:rsid w:val="00D63DC5"/>
    <w:rsid w:val="00D70094"/>
    <w:rsid w:val="00D74D47"/>
    <w:rsid w:val="00D76D96"/>
    <w:rsid w:val="00D774E2"/>
    <w:rsid w:val="00D84C35"/>
    <w:rsid w:val="00D85E29"/>
    <w:rsid w:val="00D8705E"/>
    <w:rsid w:val="00D932EC"/>
    <w:rsid w:val="00D9676E"/>
    <w:rsid w:val="00DA155F"/>
    <w:rsid w:val="00DA4DEE"/>
    <w:rsid w:val="00DA56BC"/>
    <w:rsid w:val="00DA5838"/>
    <w:rsid w:val="00DA5965"/>
    <w:rsid w:val="00DA76C1"/>
    <w:rsid w:val="00DB158F"/>
    <w:rsid w:val="00DC23D0"/>
    <w:rsid w:val="00DD30B3"/>
    <w:rsid w:val="00DE6300"/>
    <w:rsid w:val="00E06737"/>
    <w:rsid w:val="00E15272"/>
    <w:rsid w:val="00E2440E"/>
    <w:rsid w:val="00E270B6"/>
    <w:rsid w:val="00E526EC"/>
    <w:rsid w:val="00E5424C"/>
    <w:rsid w:val="00E54846"/>
    <w:rsid w:val="00E57015"/>
    <w:rsid w:val="00E6526A"/>
    <w:rsid w:val="00E74C1B"/>
    <w:rsid w:val="00E919B3"/>
    <w:rsid w:val="00EA578D"/>
    <w:rsid w:val="00EA5FF0"/>
    <w:rsid w:val="00EB1CE1"/>
    <w:rsid w:val="00EB3314"/>
    <w:rsid w:val="00EB4C3D"/>
    <w:rsid w:val="00EC2F85"/>
    <w:rsid w:val="00EC4E83"/>
    <w:rsid w:val="00ED1AA1"/>
    <w:rsid w:val="00ED7C36"/>
    <w:rsid w:val="00EE106A"/>
    <w:rsid w:val="00EE58FA"/>
    <w:rsid w:val="00EF63EB"/>
    <w:rsid w:val="00EF6D43"/>
    <w:rsid w:val="00F040F3"/>
    <w:rsid w:val="00F17E3A"/>
    <w:rsid w:val="00F354DD"/>
    <w:rsid w:val="00F74740"/>
    <w:rsid w:val="00F7730D"/>
    <w:rsid w:val="00FA4D6D"/>
    <w:rsid w:val="00FA76A6"/>
    <w:rsid w:val="00FC676C"/>
    <w:rsid w:val="00FD24CB"/>
    <w:rsid w:val="00FD791F"/>
    <w:rsid w:val="00FE07B4"/>
    <w:rsid w:val="00FE0F64"/>
    <w:rsid w:val="00FE6104"/>
    <w:rsid w:val="00FF3C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79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2410"/>
    <w:pPr>
      <w:spacing w:before="120"/>
    </w:pPr>
    <w:rPr>
      <w:lang w:val="en-GB" w:eastAsia="en-US"/>
    </w:rPr>
  </w:style>
  <w:style w:type="paragraph" w:styleId="Heading1">
    <w:name w:val="heading 1"/>
    <w:next w:val="Normal"/>
    <w:qFormat/>
    <w:rsid w:val="00B22410"/>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B22410"/>
    <w:pPr>
      <w:pageBreakBefore w:val="0"/>
      <w:numPr>
        <w:ilvl w:val="1"/>
      </w:numPr>
      <w:spacing w:before="120"/>
      <w:outlineLvl w:val="1"/>
    </w:pPr>
    <w:rPr>
      <w:sz w:val="32"/>
    </w:rPr>
  </w:style>
  <w:style w:type="paragraph" w:styleId="Heading3">
    <w:name w:val="heading 3"/>
    <w:basedOn w:val="Heading2"/>
    <w:next w:val="Normal"/>
    <w:qFormat/>
    <w:rsid w:val="00B22410"/>
    <w:pPr>
      <w:numPr>
        <w:ilvl w:val="2"/>
      </w:numPr>
      <w:spacing w:before="60"/>
      <w:outlineLvl w:val="2"/>
    </w:pPr>
    <w:rPr>
      <w:b w:val="0"/>
      <w:sz w:val="28"/>
    </w:rPr>
  </w:style>
  <w:style w:type="paragraph" w:styleId="Heading4">
    <w:name w:val="heading 4"/>
    <w:basedOn w:val="Heading3"/>
    <w:next w:val="Normal"/>
    <w:qFormat/>
    <w:rsid w:val="00B22410"/>
    <w:pPr>
      <w:numPr>
        <w:ilvl w:val="3"/>
        <w:numId w:val="9"/>
      </w:numPr>
      <w:outlineLvl w:val="3"/>
    </w:pPr>
    <w:rPr>
      <w:b/>
      <w:sz w:val="24"/>
    </w:rPr>
  </w:style>
  <w:style w:type="paragraph" w:styleId="Heading5">
    <w:name w:val="heading 5"/>
    <w:basedOn w:val="Heading4"/>
    <w:next w:val="Normal"/>
    <w:qFormat/>
    <w:rsid w:val="00B22410"/>
    <w:pPr>
      <w:numPr>
        <w:ilvl w:val="4"/>
      </w:numPr>
      <w:outlineLvl w:val="4"/>
    </w:pPr>
    <w:rPr>
      <w:sz w:val="22"/>
    </w:rPr>
  </w:style>
  <w:style w:type="paragraph" w:styleId="Heading6">
    <w:name w:val="heading 6"/>
    <w:basedOn w:val="Normal"/>
    <w:next w:val="Normal"/>
    <w:qFormat/>
    <w:rsid w:val="00B22410"/>
    <w:pPr>
      <w:keepNext/>
      <w:numPr>
        <w:ilvl w:val="5"/>
        <w:numId w:val="9"/>
      </w:numPr>
      <w:outlineLvl w:val="5"/>
    </w:pPr>
    <w:rPr>
      <w:rFonts w:ascii="Arial" w:hAnsi="Arial"/>
      <w:b/>
      <w:color w:val="C0C0C0"/>
      <w:sz w:val="24"/>
    </w:rPr>
  </w:style>
  <w:style w:type="paragraph" w:styleId="Heading7">
    <w:name w:val="heading 7"/>
    <w:basedOn w:val="Normal"/>
    <w:next w:val="Normal"/>
    <w:qFormat/>
    <w:rsid w:val="00B2241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B22410"/>
    <w:pPr>
      <w:keepNext/>
      <w:numPr>
        <w:ilvl w:val="7"/>
        <w:numId w:val="9"/>
      </w:numPr>
      <w:spacing w:after="120"/>
      <w:outlineLvl w:val="7"/>
    </w:pPr>
    <w:rPr>
      <w:rFonts w:ascii="Arial" w:hAnsi="Arial"/>
      <w:b/>
      <w:sz w:val="22"/>
    </w:rPr>
  </w:style>
  <w:style w:type="paragraph" w:styleId="Heading9">
    <w:name w:val="heading 9"/>
    <w:basedOn w:val="Normal"/>
    <w:next w:val="Normal"/>
    <w:qFormat/>
    <w:rsid w:val="00B22410"/>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22410"/>
    <w:pPr>
      <w:pBdr>
        <w:bottom w:val="single" w:sz="4" w:space="1" w:color="auto"/>
      </w:pBdr>
      <w:tabs>
        <w:tab w:val="right" w:pos="9900"/>
      </w:tabs>
      <w:spacing w:before="0"/>
    </w:pPr>
    <w:rPr>
      <w:rFonts w:ascii="Arial" w:hAnsi="Arial" w:cs="Arial"/>
      <w:b/>
      <w:bCs/>
    </w:rPr>
  </w:style>
  <w:style w:type="paragraph" w:styleId="Footer">
    <w:name w:val="footer"/>
    <w:basedOn w:val="Normal"/>
    <w:rsid w:val="00B22410"/>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B2241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22410"/>
  </w:style>
  <w:style w:type="paragraph" w:customStyle="1" w:styleId="B1">
    <w:name w:val="B1"/>
    <w:basedOn w:val="Normal"/>
    <w:rsid w:val="00B22410"/>
    <w:pPr>
      <w:ind w:left="567" w:hanging="567"/>
      <w:jc w:val="both"/>
    </w:pPr>
    <w:rPr>
      <w:rFonts w:ascii="Arial" w:hAnsi="Arial"/>
    </w:rPr>
  </w:style>
  <w:style w:type="paragraph" w:customStyle="1" w:styleId="FtDisclaimer">
    <w:name w:val="FtDisclaimer"/>
    <w:basedOn w:val="AltNormal"/>
    <w:rsid w:val="00B224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B2241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B22410"/>
    <w:rPr>
      <w:sz w:val="16"/>
    </w:rPr>
  </w:style>
  <w:style w:type="paragraph" w:customStyle="1" w:styleId="DECISION">
    <w:name w:val="DECISION"/>
    <w:basedOn w:val="Normal"/>
    <w:rsid w:val="00B22410"/>
    <w:pPr>
      <w:widowControl w:val="0"/>
      <w:numPr>
        <w:numId w:val="1"/>
      </w:numPr>
      <w:spacing w:after="120"/>
      <w:jc w:val="both"/>
    </w:pPr>
    <w:rPr>
      <w:rFonts w:ascii="Arial" w:hAnsi="Arial"/>
      <w:b/>
      <w:color w:val="0000FF"/>
      <w:u w:val="single"/>
    </w:rPr>
  </w:style>
  <w:style w:type="paragraph" w:customStyle="1" w:styleId="ACTION">
    <w:name w:val="ACTION"/>
    <w:basedOn w:val="Normal"/>
    <w:rsid w:val="00B224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2241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22410"/>
    <w:pPr>
      <w:numPr>
        <w:numId w:val="4"/>
      </w:numPr>
      <w:tabs>
        <w:tab w:val="num" w:pos="1125"/>
      </w:tabs>
    </w:pPr>
    <w:rPr>
      <w:color w:val="FF0000"/>
    </w:rPr>
  </w:style>
  <w:style w:type="paragraph" w:styleId="NoteHeading">
    <w:name w:val="Note Heading"/>
    <w:basedOn w:val="Normal"/>
    <w:next w:val="Normal"/>
    <w:rsid w:val="00B22410"/>
    <w:pPr>
      <w:spacing w:before="60" w:after="120"/>
    </w:pPr>
  </w:style>
  <w:style w:type="paragraph" w:customStyle="1" w:styleId="AltH1">
    <w:name w:val="AltH1"/>
    <w:next w:val="AltNormal"/>
    <w:rsid w:val="00B22410"/>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B22410"/>
    <w:rPr>
      <w:rFonts w:ascii="Arial" w:hAnsi="Arial"/>
    </w:rPr>
  </w:style>
  <w:style w:type="paragraph" w:customStyle="1" w:styleId="FrontMatter">
    <w:name w:val="FrontMatter"/>
    <w:basedOn w:val="Normal"/>
    <w:rsid w:val="00B22410"/>
    <w:pPr>
      <w:tabs>
        <w:tab w:val="right" w:pos="1710"/>
        <w:tab w:val="left" w:pos="3780"/>
      </w:tabs>
      <w:spacing w:before="0"/>
      <w:ind w:left="1987" w:hanging="1987"/>
    </w:pPr>
    <w:rPr>
      <w:rFonts w:ascii="Arial" w:hAnsi="Arial"/>
      <w:bCs/>
    </w:rPr>
  </w:style>
  <w:style w:type="paragraph" w:customStyle="1" w:styleId="Bul1">
    <w:name w:val="Bul1"/>
    <w:basedOn w:val="Normal"/>
    <w:rsid w:val="00B22410"/>
    <w:pPr>
      <w:numPr>
        <w:numId w:val="7"/>
      </w:numPr>
      <w:tabs>
        <w:tab w:val="clear" w:pos="1080"/>
      </w:tabs>
      <w:ind w:left="720"/>
    </w:pPr>
  </w:style>
  <w:style w:type="paragraph" w:customStyle="1" w:styleId="Bullet">
    <w:name w:val="Bullet"/>
    <w:basedOn w:val="Normal"/>
    <w:rsid w:val="00B22410"/>
    <w:pPr>
      <w:numPr>
        <w:numId w:val="5"/>
      </w:numPr>
    </w:pPr>
  </w:style>
  <w:style w:type="character" w:styleId="Hyperlink">
    <w:name w:val="Hyperlink"/>
    <w:basedOn w:val="DefaultParagraphFont"/>
    <w:rsid w:val="00B22410"/>
    <w:rPr>
      <w:strike w:val="0"/>
      <w:dstrike w:val="0"/>
      <w:color w:val="3300FF"/>
      <w:u w:val="none"/>
      <w:effect w:val="none"/>
    </w:rPr>
  </w:style>
  <w:style w:type="paragraph" w:styleId="FootnoteText">
    <w:name w:val="footnote text"/>
    <w:basedOn w:val="Normal"/>
    <w:semiHidden/>
    <w:rsid w:val="00B22410"/>
    <w:pPr>
      <w:spacing w:before="60" w:after="120"/>
    </w:pPr>
  </w:style>
  <w:style w:type="paragraph" w:customStyle="1" w:styleId="TH">
    <w:name w:val="TH"/>
    <w:basedOn w:val="Normal"/>
    <w:rsid w:val="00B2241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B22410"/>
  </w:style>
  <w:style w:type="paragraph" w:customStyle="1" w:styleId="AltTitle">
    <w:name w:val="AltTitle"/>
    <w:basedOn w:val="FrontMatter"/>
    <w:rsid w:val="00B22410"/>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B22410"/>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ZDONTMODIFY">
    <w:name w:val="ZDONTMODIFY"/>
    <w:basedOn w:val="DefaultParagraphFont"/>
    <w:rsid w:val="00A537AC"/>
  </w:style>
  <w:style w:type="character" w:customStyle="1" w:styleId="ZMODIFY">
    <w:name w:val="ZMODIFY"/>
    <w:basedOn w:val="ZDONTMODIFY"/>
    <w:rsid w:val="00A537AC"/>
  </w:style>
  <w:style w:type="paragraph" w:styleId="Caption">
    <w:name w:val="caption"/>
    <w:basedOn w:val="Normal"/>
    <w:next w:val="Normal"/>
    <w:qFormat/>
    <w:rsid w:val="00FD24CB"/>
    <w:pPr>
      <w:spacing w:before="60" w:after="180"/>
      <w:jc w:val="center"/>
    </w:pPr>
    <w:rPr>
      <w:rFonts w:eastAsia="SimSun"/>
      <w:b/>
    </w:rPr>
  </w:style>
  <w:style w:type="paragraph" w:styleId="NormalWeb">
    <w:name w:val="Normal (Web)"/>
    <w:basedOn w:val="Normal"/>
    <w:unhideWhenUsed/>
    <w:rsid w:val="00FD24CB"/>
    <w:pPr>
      <w:spacing w:before="100" w:beforeAutospacing="1" w:after="100" w:afterAutospacing="1"/>
    </w:pPr>
    <w:rPr>
      <w:sz w:val="24"/>
      <w:szCs w:val="24"/>
      <w:lang w:val="it-IT" w:eastAsia="it-IT"/>
    </w:rPr>
  </w:style>
  <w:style w:type="paragraph" w:styleId="ListParagraph">
    <w:name w:val="List Paragraph"/>
    <w:basedOn w:val="Normal"/>
    <w:uiPriority w:val="34"/>
    <w:qFormat/>
    <w:rsid w:val="00D30904"/>
    <w:pPr>
      <w:ind w:left="720"/>
      <w:contextualSpacing/>
    </w:pPr>
  </w:style>
  <w:style w:type="paragraph" w:customStyle="1" w:styleId="RefLabel">
    <w:name w:val="RefLabel"/>
    <w:basedOn w:val="Normal"/>
    <w:rsid w:val="00B30C1D"/>
    <w:pPr>
      <w:spacing w:before="60" w:after="60"/>
    </w:pPr>
    <w:rPr>
      <w:rFonts w:eastAsia="SimSun"/>
      <w:b/>
      <w:sz w:val="18"/>
    </w:rPr>
  </w:style>
  <w:style w:type="paragraph" w:customStyle="1" w:styleId="RefDesc">
    <w:name w:val="RefDesc"/>
    <w:basedOn w:val="RefLabel"/>
    <w:rsid w:val="00B30C1D"/>
    <w:rPr>
      <w:b w:val="0"/>
      <w:bCs/>
      <w:snapToGrid w:val="0"/>
      <w:lang w:val="en-US"/>
    </w:rPr>
  </w:style>
  <w:style w:type="paragraph" w:customStyle="1" w:styleId="AbbrLabel">
    <w:name w:val="AbbrLabel"/>
    <w:basedOn w:val="Normal"/>
    <w:rsid w:val="00E6526A"/>
    <w:pPr>
      <w:spacing w:before="60" w:after="60"/>
    </w:pPr>
    <w:rPr>
      <w:rFonts w:eastAsia="SimSun"/>
      <w:b/>
      <w:bCs/>
      <w:sz w:val="18"/>
    </w:rPr>
  </w:style>
  <w:style w:type="paragraph" w:customStyle="1" w:styleId="AbbrDesc">
    <w:name w:val="AbbrDesc"/>
    <w:basedOn w:val="AbbrLabel"/>
    <w:rsid w:val="00E6526A"/>
    <w:rPr>
      <w:b w:val="0"/>
      <w:bCs w:val="0"/>
    </w:rPr>
  </w:style>
  <w:style w:type="character" w:customStyle="1" w:styleId="plain11">
    <w:name w:val="plain11"/>
    <w:basedOn w:val="DefaultParagraphFont"/>
    <w:rsid w:val="005A3A00"/>
    <w:rPr>
      <w:rFonts w:ascii="Verdana" w:hAnsi="Verdana" w:hint="default"/>
      <w:b w:val="0"/>
      <w:bCs w:val="0"/>
      <w:color w:val="434343"/>
      <w:sz w:val="10"/>
      <w:szCs w:val="10"/>
    </w:rPr>
  </w:style>
  <w:style w:type="paragraph" w:customStyle="1" w:styleId="plain1">
    <w:name w:val="plain1"/>
    <w:basedOn w:val="Normal"/>
    <w:rsid w:val="00DC23D0"/>
    <w:pPr>
      <w:spacing w:before="100" w:beforeAutospacing="1" w:after="100" w:afterAutospacing="1" w:line="128" w:lineRule="atLeast"/>
    </w:pPr>
    <w:rPr>
      <w:rFonts w:ascii="Verdana" w:hAnsi="Verdana"/>
      <w:color w:val="434343"/>
      <w:sz w:val="10"/>
      <w:szCs w:val="10"/>
      <w:lang w:val="en-US" w:eastAsia="zh-CN"/>
    </w:rPr>
  </w:style>
  <w:style w:type="paragraph" w:customStyle="1" w:styleId="subtitle1">
    <w:name w:val="subtitle1"/>
    <w:basedOn w:val="Normal"/>
    <w:rsid w:val="00DC23D0"/>
    <w:pPr>
      <w:spacing w:before="100" w:beforeAutospacing="1" w:after="100" w:afterAutospacing="1"/>
    </w:pPr>
    <w:rPr>
      <w:rFonts w:ascii="Verdana" w:hAnsi="Verdana"/>
      <w:b/>
      <w:bCs/>
      <w:color w:val="478EC6"/>
      <w:sz w:val="11"/>
      <w:szCs w:val="11"/>
      <w:lang w:val="en-US" w:eastAsia="zh-CN"/>
    </w:rPr>
  </w:style>
  <w:style w:type="character" w:customStyle="1" w:styleId="sidemenu1">
    <w:name w:val="sidemenu1"/>
    <w:basedOn w:val="DefaultParagraphFont"/>
    <w:rsid w:val="00DC23D0"/>
    <w:rPr>
      <w:rFonts w:ascii="Verdana" w:hAnsi="Verdana" w:hint="default"/>
      <w:b/>
      <w:bCs/>
      <w:color w:val="032366"/>
      <w:sz w:val="10"/>
      <w:szCs w:val="10"/>
    </w:rPr>
  </w:style>
  <w:style w:type="paragraph" w:styleId="CommentSubject">
    <w:name w:val="annotation subject"/>
    <w:basedOn w:val="CommentText"/>
    <w:next w:val="CommentText"/>
    <w:link w:val="CommentSubjectChar"/>
    <w:rsid w:val="00034DF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34DF2"/>
    <w:rPr>
      <w:rFonts w:ascii="Arial" w:hAnsi="Arial"/>
      <w:lang w:val="en-GB" w:eastAsia="en-US"/>
    </w:rPr>
  </w:style>
  <w:style w:type="character" w:customStyle="1" w:styleId="CommentSubjectChar">
    <w:name w:val="Comment Subject Char"/>
    <w:basedOn w:val="CommentTextChar"/>
    <w:link w:val="CommentSubject"/>
    <w:rsid w:val="00034DF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bin.hu@huawei.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3</Pages>
  <Words>846</Words>
  <Characters>4827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5662</CharactersWithSpaces>
  <SharedDoc>false</SharedDoc>
  <HLinks>
    <vt:vector size="6" baseType="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Hu Bin 00901719</cp:lastModifiedBy>
  <cp:revision>14</cp:revision>
  <cp:lastPrinted>2005-07-28T17:49:00Z</cp:lastPrinted>
  <dcterms:created xsi:type="dcterms:W3CDTF">2012-02-11T21:38:00Z</dcterms:created>
  <dcterms:modified xsi:type="dcterms:W3CDTF">2012-02-12T00:03:00Z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(3)qrr57rwVeMP7AbWJzP3B00FhgniBrRDzEweZRPMJ5yplBIlcTYrSZ1CRoz5AEm1TwyFFRh8Z
Znhpig08OhT7OaC/e8yc2F6wFp/iTJOf5G0wAuVUL4gdnjw9lwqc+oVxFkVDflcjLokspfWB
K0kqqgor1yAhWYThuyKuPanMPI5TWtEn2Y1LAHg/dLe8Xac95z0EpC+XaqSZ+Oi53Zml4pEG
RbaAXOOzWWWp6cbOSOifv</vt:lpwstr>
  </property>
  <property fmtid="{D5CDD505-2E9C-101B-9397-08002B2CF9AE}" pid="3" name="_ms_pID_7253431">
    <vt:lpwstr>UHmmIp7C87eBmdDzfeMtRrLaBCT3zMDLY0EG7TSJeP/AS6nZ3Vd
EgyPQ5afGXFQOuL0HJzqQ/RCOWnsipZaDrzgvxDtV+aXynAj9xFGI0upYfw7AgDnUhPBkDC0
qpJU6Og0c/6HW5/zoSoAoCoOWD/KebfMgeJacQU6kE+h42SMCEcI068nwLUmkVXJoMPWBr9w
y0YO8JEQC7rfiNFHuiCt8d9WLelKdVb7K/Udm0GCvE</vt:lpwstr>
  </property>
  <property fmtid="{D5CDD505-2E9C-101B-9397-08002B2CF9AE}" pid="4" name="_ms_pID_7253432">
    <vt:lpwstr>J3QyB7sqxq0u+C6+gYxa0ZhoB1buFc
UpX2LKtZ</vt:lpwstr>
  </property>
  <property fmtid="{D5CDD505-2E9C-101B-9397-08002B2CF9AE}" pid="5" name="sflag">
    <vt:lpwstr>1329004989</vt:lpwstr>
  </property>
</Properties>
</file>