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85012F" w14:textId="77777777" w:rsidR="004B5BA8" w:rsidRDefault="00222930">
      <w:pPr>
        <w:tabs>
          <w:tab w:val="center" w:pos="6666"/>
        </w:tabs>
        <w:spacing w:after="1411" w:line="259" w:lineRule="auto"/>
        <w:ind w:left="0" w:firstLine="0"/>
      </w:pPr>
      <w:r>
        <w:rPr>
          <w:noProof/>
        </w:rPr>
        <w:drawing>
          <wp:inline distT="0" distB="0" distL="0" distR="0" wp14:anchorId="4D480518" wp14:editId="5EF845CE">
            <wp:extent cx="1827149" cy="518160"/>
            <wp:effectExtent l="0" t="0" r="0" b="0"/>
            <wp:docPr id="81" name="Picture 81"/>
            <wp:cNvGraphicFramePr/>
            <a:graphic xmlns:a="http://schemas.openxmlformats.org/drawingml/2006/main">
              <a:graphicData uri="http://schemas.openxmlformats.org/drawingml/2006/picture">
                <pic:pic xmlns:pic="http://schemas.openxmlformats.org/drawingml/2006/picture">
                  <pic:nvPicPr>
                    <pic:cNvPr id="81" name="Picture 81"/>
                    <pic:cNvPicPr/>
                  </pic:nvPicPr>
                  <pic:blipFill>
                    <a:blip r:embed="rId7"/>
                    <a:stretch>
                      <a:fillRect/>
                    </a:stretch>
                  </pic:blipFill>
                  <pic:spPr>
                    <a:xfrm>
                      <a:off x="0" y="0"/>
                      <a:ext cx="1827149" cy="518160"/>
                    </a:xfrm>
                    <a:prstGeom prst="rect">
                      <a:avLst/>
                    </a:prstGeom>
                  </pic:spPr>
                </pic:pic>
              </a:graphicData>
            </a:graphic>
          </wp:inline>
        </w:drawing>
      </w:r>
      <w:r>
        <w:t xml:space="preserve"> </w:t>
      </w:r>
      <w:r>
        <w:tab/>
      </w:r>
      <w:r>
        <w:rPr>
          <w:rFonts w:ascii="Arial" w:eastAsia="Arial" w:hAnsi="Arial" w:cs="Arial"/>
        </w:rPr>
        <w:t xml:space="preserve"> </w:t>
      </w:r>
    </w:p>
    <w:p w14:paraId="328B4D9A" w14:textId="2516A75C" w:rsidR="004B5BA8" w:rsidRDefault="00222930">
      <w:pPr>
        <w:spacing w:after="0" w:line="259" w:lineRule="auto"/>
        <w:ind w:left="108" w:firstLine="0"/>
      </w:pPr>
      <w:r>
        <w:rPr>
          <w:rFonts w:ascii="Arial" w:eastAsia="Arial" w:hAnsi="Arial" w:cs="Arial"/>
          <w:b/>
          <w:sz w:val="40"/>
        </w:rPr>
        <w:t xml:space="preserve">        OMA Lightweight M2M (LwM2M) - Ready For 5G </w:t>
      </w:r>
    </w:p>
    <w:p w14:paraId="252CEB82" w14:textId="16492868" w:rsidR="004B5BA8" w:rsidRDefault="00927524">
      <w:pPr>
        <w:spacing w:after="0" w:line="265" w:lineRule="auto"/>
        <w:ind w:right="114"/>
        <w:jc w:val="right"/>
      </w:pPr>
      <w:r>
        <w:rPr>
          <w:rFonts w:ascii="Arial" w:eastAsia="Arial" w:hAnsi="Arial" w:cs="Arial"/>
          <w:sz w:val="32"/>
        </w:rPr>
        <w:t xml:space="preserve">Draft - </w:t>
      </w:r>
      <w:r w:rsidR="00222930">
        <w:rPr>
          <w:rFonts w:ascii="Arial" w:eastAsia="Arial" w:hAnsi="Arial" w:cs="Arial"/>
          <w:sz w:val="32"/>
        </w:rPr>
        <w:t xml:space="preserve">12 Nov 2019 </w:t>
      </w:r>
    </w:p>
    <w:p w14:paraId="4753968B" w14:textId="77777777" w:rsidR="004B5BA8" w:rsidRDefault="00222930">
      <w:pPr>
        <w:spacing w:after="1401" w:line="259" w:lineRule="auto"/>
        <w:ind w:left="80" w:firstLine="0"/>
      </w:pPr>
      <w:r>
        <w:rPr>
          <w:rFonts w:ascii="Calibri" w:eastAsia="Calibri" w:hAnsi="Calibri" w:cs="Calibri"/>
          <w:noProof/>
          <w:sz w:val="22"/>
        </w:rPr>
        <mc:AlternateContent>
          <mc:Choice Requires="wpg">
            <w:drawing>
              <wp:inline distT="0" distB="0" distL="0" distR="0" wp14:anchorId="759AD2BD" wp14:editId="4F9393DF">
                <wp:extent cx="6307582" cy="18288"/>
                <wp:effectExtent l="0" t="0" r="0" b="0"/>
                <wp:docPr id="8132" name="Group 8132"/>
                <wp:cNvGraphicFramePr/>
                <a:graphic xmlns:a="http://schemas.openxmlformats.org/drawingml/2006/main">
                  <a:graphicData uri="http://schemas.microsoft.com/office/word/2010/wordprocessingGroup">
                    <wpg:wgp>
                      <wpg:cNvGrpSpPr/>
                      <wpg:grpSpPr>
                        <a:xfrm>
                          <a:off x="0" y="0"/>
                          <a:ext cx="6307582" cy="18288"/>
                          <a:chOff x="0" y="0"/>
                          <a:chExt cx="6307582" cy="18288"/>
                        </a:xfrm>
                      </wpg:grpSpPr>
                      <wps:wsp>
                        <wps:cNvPr id="10127" name="Shape 10127"/>
                        <wps:cNvSpPr/>
                        <wps:spPr>
                          <a:xfrm>
                            <a:off x="0" y="0"/>
                            <a:ext cx="6307582" cy="18288"/>
                          </a:xfrm>
                          <a:custGeom>
                            <a:avLst/>
                            <a:gdLst/>
                            <a:ahLst/>
                            <a:cxnLst/>
                            <a:rect l="0" t="0" r="0" b="0"/>
                            <a:pathLst>
                              <a:path w="6307582" h="18288">
                                <a:moveTo>
                                  <a:pt x="0" y="0"/>
                                </a:moveTo>
                                <a:lnTo>
                                  <a:pt x="6307582" y="0"/>
                                </a:lnTo>
                                <a:lnTo>
                                  <a:pt x="6307582" y="18288"/>
                                </a:lnTo>
                                <a:lnTo>
                                  <a:pt x="0" y="18288"/>
                                </a:lnTo>
                                <a:lnTo>
                                  <a:pt x="0" y="0"/>
                                </a:lnTo>
                              </a:path>
                            </a:pathLst>
                          </a:custGeom>
                          <a:ln w="0" cap="flat">
                            <a:miter lim="127000"/>
                          </a:ln>
                        </wps:spPr>
                        <wps:style>
                          <a:lnRef idx="0">
                            <a:srgbClr val="000000">
                              <a:alpha val="0"/>
                            </a:srgbClr>
                          </a:lnRef>
                          <a:fillRef idx="1">
                            <a:srgbClr val="800000"/>
                          </a:fillRef>
                          <a:effectRef idx="0">
                            <a:scrgbClr r="0" g="0" b="0"/>
                          </a:effectRef>
                          <a:fontRef idx="none"/>
                        </wps:style>
                        <wps:bodyPr/>
                      </wps:wsp>
                    </wpg:wgp>
                  </a:graphicData>
                </a:graphic>
              </wp:inline>
            </w:drawing>
          </mc:Choice>
          <mc:Fallback xmlns:a="http://schemas.openxmlformats.org/drawingml/2006/main">
            <w:pict>
              <v:group id="Group 8132" style="width:496.66pt;height:1.44pt;mso-position-horizontal-relative:char;mso-position-vertical-relative:line" coordsize="63075,182">
                <v:shape id="Shape 10128" style="position:absolute;width:63075;height:182;left:0;top:0;" coordsize="6307582,18288" path="m0,0l6307582,0l6307582,18288l0,18288l0,0">
                  <v:stroke weight="0pt" endcap="flat" joinstyle="miter" miterlimit="10" on="false" color="#000000" opacity="0"/>
                  <v:fill on="true" color="#800000"/>
                </v:shape>
              </v:group>
            </w:pict>
          </mc:Fallback>
        </mc:AlternateContent>
      </w:r>
    </w:p>
    <w:p w14:paraId="6CC334CD" w14:textId="77777777" w:rsidR="004B5BA8" w:rsidRDefault="00222930">
      <w:pPr>
        <w:spacing w:after="0" w:line="259" w:lineRule="auto"/>
        <w:ind w:left="0" w:right="131" w:firstLine="0"/>
        <w:jc w:val="right"/>
      </w:pPr>
      <w:r>
        <w:rPr>
          <w:rFonts w:ascii="Arial" w:eastAsia="Arial" w:hAnsi="Arial" w:cs="Arial"/>
          <w:b/>
          <w:sz w:val="32"/>
        </w:rPr>
        <w:t xml:space="preserve">Open Mobile Alliance </w:t>
      </w:r>
    </w:p>
    <w:p w14:paraId="17CD824E" w14:textId="77777777" w:rsidR="004B5BA8" w:rsidRDefault="00222930">
      <w:pPr>
        <w:spacing w:after="1350" w:line="265" w:lineRule="auto"/>
        <w:ind w:right="114"/>
        <w:jc w:val="right"/>
      </w:pPr>
      <w:bookmarkStart w:id="0" w:name="_GoBack"/>
      <w:r>
        <w:rPr>
          <w:rFonts w:ascii="Arial" w:eastAsia="Arial" w:hAnsi="Arial" w:cs="Arial"/>
          <w:sz w:val="32"/>
        </w:rPr>
        <w:t>OMA-WP-State-of-the-LwM2M-Standard-20191112-D</w:t>
      </w:r>
      <w:r>
        <w:rPr>
          <w:rFonts w:ascii="Arial" w:eastAsia="Arial" w:hAnsi="Arial" w:cs="Arial"/>
          <w:sz w:val="28"/>
        </w:rPr>
        <w:t xml:space="preserve"> </w:t>
      </w:r>
    </w:p>
    <w:bookmarkEnd w:id="0"/>
    <w:p w14:paraId="420C981E" w14:textId="77777777" w:rsidR="004B5BA8" w:rsidRDefault="00222930">
      <w:pPr>
        <w:spacing w:after="0" w:line="259" w:lineRule="auto"/>
        <w:ind w:left="0" w:right="48" w:firstLine="0"/>
        <w:jc w:val="right"/>
      </w:pPr>
      <w:r>
        <w:rPr>
          <w:rFonts w:ascii="Arial" w:eastAsia="Arial" w:hAnsi="Arial" w:cs="Arial"/>
          <w:sz w:val="24"/>
        </w:rPr>
        <w:t xml:space="preserve"> </w:t>
      </w:r>
    </w:p>
    <w:p w14:paraId="7834900F" w14:textId="77777777" w:rsidR="004B5BA8" w:rsidRDefault="00222930">
      <w:pPr>
        <w:spacing w:after="0" w:line="259" w:lineRule="auto"/>
        <w:ind w:left="0" w:right="48" w:firstLine="0"/>
        <w:jc w:val="right"/>
      </w:pPr>
      <w:r>
        <w:rPr>
          <w:rFonts w:ascii="Arial" w:eastAsia="Arial" w:hAnsi="Arial" w:cs="Arial"/>
          <w:sz w:val="24"/>
        </w:rPr>
        <w:t xml:space="preserve"> </w:t>
      </w:r>
    </w:p>
    <w:p w14:paraId="13879580" w14:textId="77777777" w:rsidR="004B5BA8" w:rsidRDefault="00222930">
      <w:pPr>
        <w:spacing w:after="0" w:line="259" w:lineRule="auto"/>
        <w:ind w:left="0" w:right="48" w:firstLine="0"/>
        <w:jc w:val="right"/>
      </w:pPr>
      <w:r>
        <w:rPr>
          <w:rFonts w:ascii="Arial" w:eastAsia="Arial" w:hAnsi="Arial" w:cs="Arial"/>
          <w:sz w:val="24"/>
        </w:rPr>
        <w:t xml:space="preserve"> </w:t>
      </w:r>
    </w:p>
    <w:p w14:paraId="537F0154" w14:textId="77777777" w:rsidR="004B5BA8" w:rsidRDefault="00222930">
      <w:pPr>
        <w:spacing w:after="418" w:line="259" w:lineRule="auto"/>
        <w:ind w:left="0" w:right="48" w:firstLine="0"/>
        <w:jc w:val="right"/>
      </w:pPr>
      <w:r>
        <w:rPr>
          <w:rFonts w:ascii="Arial" w:eastAsia="Arial" w:hAnsi="Arial" w:cs="Arial"/>
          <w:sz w:val="24"/>
        </w:rPr>
        <w:t xml:space="preserve"> </w:t>
      </w:r>
    </w:p>
    <w:p w14:paraId="4A62C556" w14:textId="77777777" w:rsidR="004B5BA8" w:rsidRDefault="00222930">
      <w:pPr>
        <w:tabs>
          <w:tab w:val="center" w:pos="6741"/>
          <w:tab w:val="right" w:pos="10110"/>
        </w:tabs>
        <w:spacing w:after="0" w:line="265" w:lineRule="auto"/>
        <w:ind w:left="0" w:firstLine="0"/>
      </w:pPr>
      <w:r>
        <w:rPr>
          <w:rFonts w:ascii="Calibri" w:eastAsia="Calibri" w:hAnsi="Calibri" w:cs="Calibri"/>
          <w:sz w:val="22"/>
        </w:rPr>
        <w:tab/>
      </w:r>
      <w:r>
        <w:rPr>
          <w:rFonts w:ascii="Arial" w:eastAsia="Arial" w:hAnsi="Arial" w:cs="Arial"/>
          <w:sz w:val="49"/>
          <w:vertAlign w:val="superscript"/>
        </w:rPr>
        <w:t xml:space="preserve"> </w:t>
      </w:r>
      <w:r>
        <w:rPr>
          <w:rFonts w:ascii="Arial" w:eastAsia="Arial" w:hAnsi="Arial" w:cs="Arial"/>
          <w:sz w:val="49"/>
          <w:vertAlign w:val="superscript"/>
        </w:rPr>
        <w:tab/>
      </w:r>
      <w:r>
        <w:rPr>
          <w:rFonts w:ascii="Arial" w:eastAsia="Arial" w:hAnsi="Arial" w:cs="Arial"/>
          <w:sz w:val="24"/>
        </w:rPr>
        <w:t xml:space="preserve">Martino Turcato, </w:t>
      </w:r>
      <w:proofErr w:type="spellStart"/>
      <w:r>
        <w:rPr>
          <w:rFonts w:ascii="Arial" w:eastAsia="Arial" w:hAnsi="Arial" w:cs="Arial"/>
          <w:sz w:val="24"/>
        </w:rPr>
        <w:t>Telit</w:t>
      </w:r>
      <w:proofErr w:type="spellEnd"/>
      <w:r>
        <w:rPr>
          <w:rFonts w:ascii="Arial" w:eastAsia="Arial" w:hAnsi="Arial" w:cs="Arial"/>
          <w:sz w:val="24"/>
        </w:rPr>
        <w:t xml:space="preserve">  </w:t>
      </w:r>
    </w:p>
    <w:p w14:paraId="4A395B91" w14:textId="77777777" w:rsidR="004B5BA8" w:rsidRDefault="00222930">
      <w:pPr>
        <w:spacing w:after="0" w:line="259" w:lineRule="auto"/>
        <w:ind w:left="0" w:right="48" w:firstLine="0"/>
        <w:jc w:val="right"/>
      </w:pPr>
      <w:r>
        <w:rPr>
          <w:rFonts w:ascii="Arial" w:eastAsia="Arial" w:hAnsi="Arial" w:cs="Arial"/>
          <w:sz w:val="24"/>
        </w:rPr>
        <w:t xml:space="preserve"> </w:t>
      </w:r>
    </w:p>
    <w:p w14:paraId="157AB606" w14:textId="77777777" w:rsidR="004B5BA8" w:rsidRDefault="00222930">
      <w:pPr>
        <w:spacing w:after="0" w:line="265" w:lineRule="auto"/>
        <w:ind w:right="100"/>
        <w:jc w:val="right"/>
      </w:pPr>
      <w:r>
        <w:rPr>
          <w:rFonts w:ascii="Arial" w:eastAsia="Arial" w:hAnsi="Arial" w:cs="Arial"/>
          <w:sz w:val="24"/>
        </w:rPr>
        <w:t xml:space="preserve">Joe Braga, </w:t>
      </w:r>
      <w:proofErr w:type="spellStart"/>
      <w:r>
        <w:rPr>
          <w:rFonts w:ascii="Arial" w:eastAsia="Arial" w:hAnsi="Arial" w:cs="Arial"/>
          <w:sz w:val="24"/>
        </w:rPr>
        <w:t>Telit</w:t>
      </w:r>
      <w:proofErr w:type="spellEnd"/>
      <w:r>
        <w:rPr>
          <w:rFonts w:ascii="Arial" w:eastAsia="Arial" w:hAnsi="Arial" w:cs="Arial"/>
          <w:sz w:val="24"/>
        </w:rPr>
        <w:t xml:space="preserve"> </w:t>
      </w:r>
    </w:p>
    <w:p w14:paraId="1FA5D0AF" w14:textId="77777777" w:rsidR="004B5BA8" w:rsidRDefault="00222930">
      <w:pPr>
        <w:spacing w:after="0" w:line="259" w:lineRule="auto"/>
        <w:ind w:left="0" w:right="48" w:firstLine="0"/>
        <w:jc w:val="right"/>
      </w:pPr>
      <w:r>
        <w:rPr>
          <w:rFonts w:ascii="Arial" w:eastAsia="Arial" w:hAnsi="Arial" w:cs="Arial"/>
          <w:sz w:val="24"/>
        </w:rPr>
        <w:t xml:space="preserve"> </w:t>
      </w:r>
    </w:p>
    <w:p w14:paraId="37438E82" w14:textId="77777777" w:rsidR="004B5BA8" w:rsidRDefault="00222930">
      <w:pPr>
        <w:spacing w:after="1163" w:line="265" w:lineRule="auto"/>
        <w:ind w:right="100"/>
        <w:jc w:val="right"/>
      </w:pPr>
      <w:r>
        <w:rPr>
          <w:rFonts w:ascii="Arial" w:eastAsia="Arial" w:hAnsi="Arial" w:cs="Arial"/>
          <w:sz w:val="24"/>
        </w:rPr>
        <w:t xml:space="preserve">Mohammed Dadas, Orange </w:t>
      </w:r>
    </w:p>
    <w:p w14:paraId="35BEEF43" w14:textId="77777777" w:rsidR="004B5BA8" w:rsidRDefault="00222930">
      <w:pPr>
        <w:spacing w:after="1089" w:line="259" w:lineRule="auto"/>
        <w:ind w:left="108" w:firstLine="0"/>
      </w:pPr>
      <w:r>
        <w:rPr>
          <w:rFonts w:ascii="Arial" w:eastAsia="Arial" w:hAnsi="Arial" w:cs="Arial"/>
          <w:sz w:val="32"/>
        </w:rPr>
        <w:t xml:space="preserve"> </w:t>
      </w:r>
    </w:p>
    <w:p w14:paraId="78EDB59A" w14:textId="77777777" w:rsidR="004B5BA8" w:rsidRDefault="00222930">
      <w:pPr>
        <w:spacing w:after="113" w:line="259" w:lineRule="auto"/>
        <w:ind w:left="108" w:firstLine="0"/>
      </w:pPr>
      <w:r>
        <w:rPr>
          <w:rFonts w:ascii="Arial" w:eastAsia="Arial" w:hAnsi="Arial" w:cs="Arial"/>
          <w:sz w:val="32"/>
        </w:rPr>
        <w:t xml:space="preserve"> </w:t>
      </w:r>
    </w:p>
    <w:p w14:paraId="525CD419" w14:textId="77777777" w:rsidR="004B5BA8" w:rsidRDefault="00222930">
      <w:pPr>
        <w:spacing w:after="710" w:line="259" w:lineRule="auto"/>
        <w:ind w:left="108" w:firstLine="0"/>
        <w:jc w:val="both"/>
      </w:pPr>
      <w:r>
        <w:rPr>
          <w:rFonts w:ascii="Arial" w:eastAsia="Arial" w:hAnsi="Arial" w:cs="Arial"/>
        </w:rPr>
        <w:t xml:space="preserve"> </w:t>
      </w:r>
      <w:r>
        <w:rPr>
          <w:rFonts w:ascii="Arial" w:eastAsia="Arial" w:hAnsi="Arial" w:cs="Arial"/>
        </w:rPr>
        <w:tab/>
      </w:r>
      <w:r>
        <w:rPr>
          <w:rFonts w:ascii="Arial" w:eastAsia="Arial" w:hAnsi="Arial" w:cs="Arial"/>
          <w:sz w:val="32"/>
        </w:rPr>
        <w:t xml:space="preserve"> </w:t>
      </w:r>
    </w:p>
    <w:p w14:paraId="4E41A65D" w14:textId="77777777" w:rsidR="004B5BA8" w:rsidRDefault="00222930">
      <w:pPr>
        <w:spacing w:after="0" w:line="259" w:lineRule="auto"/>
        <w:ind w:left="0" w:firstLine="0"/>
        <w:jc w:val="right"/>
      </w:pPr>
      <w:r>
        <w:rPr>
          <w:rFonts w:ascii="Arial" w:eastAsia="Arial" w:hAnsi="Arial" w:cs="Arial"/>
          <w:b/>
          <w:color w:val="969696"/>
          <w:sz w:val="10"/>
        </w:rPr>
        <w:lastRenderedPageBreak/>
        <w:t xml:space="preserve"> </w:t>
      </w:r>
    </w:p>
    <w:sdt>
      <w:sdtPr>
        <w:id w:val="1122031459"/>
        <w:docPartObj>
          <w:docPartGallery w:val="Table of Contents"/>
        </w:docPartObj>
      </w:sdtPr>
      <w:sdtEndPr/>
      <w:sdtContent>
        <w:p w14:paraId="47980B1C" w14:textId="394AFBEB" w:rsidR="004B5BA8" w:rsidRDefault="00222930">
          <w:pPr>
            <w:spacing w:after="0" w:line="259" w:lineRule="auto"/>
            <w:ind w:left="-5"/>
          </w:pPr>
          <w:r>
            <w:rPr>
              <w:rFonts w:ascii="Arial" w:eastAsia="Arial" w:hAnsi="Arial" w:cs="Arial"/>
              <w:b/>
              <w:sz w:val="36"/>
            </w:rPr>
            <w:t xml:space="preserve">Contents </w:t>
          </w:r>
        </w:p>
        <w:p w14:paraId="2EEF1C65" w14:textId="77777777" w:rsidR="004B5BA8" w:rsidRDefault="00222930">
          <w:pPr>
            <w:pStyle w:val="TOC1"/>
            <w:tabs>
              <w:tab w:val="right" w:leader="dot" w:pos="10110"/>
            </w:tabs>
          </w:pPr>
          <w:r>
            <w:fldChar w:fldCharType="begin"/>
          </w:r>
          <w:r>
            <w:instrText xml:space="preserve"> TOC \o "1-2" \h \z \u </w:instrText>
          </w:r>
          <w:r>
            <w:fldChar w:fldCharType="separate"/>
          </w:r>
          <w:hyperlink w:anchor="_Toc10073">
            <w:r>
              <w:t>1.</w:t>
            </w:r>
            <w:r>
              <w:rPr>
                <w:rFonts w:ascii="Calibri" w:eastAsia="Calibri" w:hAnsi="Calibri" w:cs="Calibri"/>
                <w:b w:val="0"/>
                <w:sz w:val="22"/>
              </w:rPr>
              <w:t xml:space="preserve">  </w:t>
            </w:r>
            <w:r>
              <w:t>THE STATE OF THE LIGHTWEIGHT M2M STANDARD – LWM2M</w:t>
            </w:r>
            <w:r>
              <w:tab/>
            </w:r>
            <w:r>
              <w:fldChar w:fldCharType="begin"/>
            </w:r>
            <w:r>
              <w:instrText>PAGEREF _Toc10073 \h</w:instrText>
            </w:r>
            <w:r>
              <w:fldChar w:fldCharType="separate"/>
            </w:r>
            <w:r>
              <w:t xml:space="preserve">3 </w:t>
            </w:r>
            <w:r>
              <w:fldChar w:fldCharType="end"/>
            </w:r>
          </w:hyperlink>
        </w:p>
        <w:p w14:paraId="262125C3" w14:textId="77777777" w:rsidR="004B5BA8" w:rsidRDefault="000D7EB2">
          <w:pPr>
            <w:pStyle w:val="TOC2"/>
            <w:tabs>
              <w:tab w:val="right" w:leader="dot" w:pos="10110"/>
            </w:tabs>
          </w:pPr>
          <w:hyperlink w:anchor="_Toc10074">
            <w:r w:rsidR="00222930">
              <w:t>1.1</w:t>
            </w:r>
            <w:r w:rsidR="00222930">
              <w:rPr>
                <w:rFonts w:ascii="Calibri" w:eastAsia="Calibri" w:hAnsi="Calibri" w:cs="Calibri"/>
                <w:b w:val="0"/>
                <w:sz w:val="22"/>
              </w:rPr>
              <w:t xml:space="preserve">  </w:t>
            </w:r>
            <w:r w:rsidR="00222930">
              <w:t>5G</w:t>
            </w:r>
            <w:r w:rsidR="00222930">
              <w:rPr>
                <w:sz w:val="16"/>
              </w:rPr>
              <w:t xml:space="preserve"> IN A NUTSHELL </w:t>
            </w:r>
            <w:r w:rsidR="00222930">
              <w:t>–</w:t>
            </w:r>
            <w:r w:rsidR="00222930">
              <w:rPr>
                <w:sz w:val="16"/>
              </w:rPr>
              <w:t xml:space="preserve"> </w:t>
            </w:r>
            <w:r w:rsidR="00222930">
              <w:t>T</w:t>
            </w:r>
            <w:r w:rsidR="00222930">
              <w:rPr>
                <w:sz w:val="16"/>
              </w:rPr>
              <w:t>HE PROMISE</w:t>
            </w:r>
            <w:r w:rsidR="00222930">
              <w:t>,</w:t>
            </w:r>
            <w:r w:rsidR="00222930">
              <w:rPr>
                <w:sz w:val="16"/>
              </w:rPr>
              <w:t xml:space="preserve"> OPPORTUNITIES</w:t>
            </w:r>
            <w:r w:rsidR="00222930">
              <w:t>,</w:t>
            </w:r>
            <w:r w:rsidR="00222930">
              <w:rPr>
                <w:sz w:val="16"/>
              </w:rPr>
              <w:t xml:space="preserve"> CHALLENGES</w:t>
            </w:r>
            <w:r w:rsidR="00222930">
              <w:tab/>
            </w:r>
            <w:r w:rsidR="00222930">
              <w:fldChar w:fldCharType="begin"/>
            </w:r>
            <w:r w:rsidR="00222930">
              <w:instrText>PAGEREF _Toc10074 \h</w:instrText>
            </w:r>
            <w:r w:rsidR="00222930">
              <w:fldChar w:fldCharType="separate"/>
            </w:r>
            <w:r w:rsidR="00222930">
              <w:t xml:space="preserve">3 </w:t>
            </w:r>
            <w:r w:rsidR="00222930">
              <w:fldChar w:fldCharType="end"/>
            </w:r>
          </w:hyperlink>
        </w:p>
        <w:p w14:paraId="60B25FDD" w14:textId="77777777" w:rsidR="004B5BA8" w:rsidRDefault="000D7EB2">
          <w:pPr>
            <w:pStyle w:val="TOC2"/>
            <w:tabs>
              <w:tab w:val="right" w:leader="dot" w:pos="10110"/>
            </w:tabs>
          </w:pPr>
          <w:hyperlink w:anchor="_Toc10075">
            <w:r w:rsidR="00222930">
              <w:t>1.2</w:t>
            </w:r>
            <w:r w:rsidR="00222930">
              <w:rPr>
                <w:rFonts w:ascii="Calibri" w:eastAsia="Calibri" w:hAnsi="Calibri" w:cs="Calibri"/>
                <w:b w:val="0"/>
                <w:sz w:val="22"/>
              </w:rPr>
              <w:t xml:space="preserve">  </w:t>
            </w:r>
            <w:r w:rsidR="00222930">
              <w:t>L</w:t>
            </w:r>
            <w:r w:rsidR="00222930">
              <w:rPr>
                <w:sz w:val="16"/>
              </w:rPr>
              <w:t>W</w:t>
            </w:r>
            <w:r w:rsidR="00222930">
              <w:t>M2M</w:t>
            </w:r>
            <w:r w:rsidR="00222930">
              <w:rPr>
                <w:sz w:val="16"/>
              </w:rPr>
              <w:t xml:space="preserve"> IS </w:t>
            </w:r>
            <w:r w:rsidR="00222930">
              <w:t>5G</w:t>
            </w:r>
            <w:r w:rsidR="00222930">
              <w:rPr>
                <w:sz w:val="16"/>
              </w:rPr>
              <w:t xml:space="preserve"> READY</w:t>
            </w:r>
            <w:r w:rsidR="00222930">
              <w:tab/>
            </w:r>
            <w:r w:rsidR="00222930">
              <w:fldChar w:fldCharType="begin"/>
            </w:r>
            <w:r w:rsidR="00222930">
              <w:instrText>PAGEREF _Toc10075 \h</w:instrText>
            </w:r>
            <w:r w:rsidR="00222930">
              <w:fldChar w:fldCharType="separate"/>
            </w:r>
            <w:r w:rsidR="00222930">
              <w:t xml:space="preserve">3 </w:t>
            </w:r>
            <w:r w:rsidR="00222930">
              <w:fldChar w:fldCharType="end"/>
            </w:r>
          </w:hyperlink>
        </w:p>
        <w:p w14:paraId="361479B4" w14:textId="77777777" w:rsidR="004B5BA8" w:rsidRDefault="000D7EB2">
          <w:pPr>
            <w:pStyle w:val="TOC2"/>
            <w:tabs>
              <w:tab w:val="right" w:leader="dot" w:pos="10110"/>
            </w:tabs>
          </w:pPr>
          <w:hyperlink w:anchor="_Toc10076">
            <w:r w:rsidR="00222930">
              <w:t>1.3</w:t>
            </w:r>
            <w:r w:rsidR="00222930">
              <w:rPr>
                <w:rFonts w:ascii="Calibri" w:eastAsia="Calibri" w:hAnsi="Calibri" w:cs="Calibri"/>
                <w:b w:val="0"/>
                <w:sz w:val="22"/>
              </w:rPr>
              <w:t xml:space="preserve">  </w:t>
            </w:r>
            <w:r w:rsidR="00222930">
              <w:t>L</w:t>
            </w:r>
            <w:r w:rsidR="00222930">
              <w:rPr>
                <w:sz w:val="16"/>
              </w:rPr>
              <w:t>W</w:t>
            </w:r>
            <w:r w:rsidR="00222930">
              <w:t>M2M</w:t>
            </w:r>
            <w:r w:rsidR="00222930">
              <w:rPr>
                <w:sz w:val="16"/>
              </w:rPr>
              <w:t xml:space="preserve"> </w:t>
            </w:r>
            <w:r w:rsidR="00222930">
              <w:t>–</w:t>
            </w:r>
            <w:r w:rsidR="00222930">
              <w:rPr>
                <w:sz w:val="16"/>
              </w:rPr>
              <w:t xml:space="preserve"> </w:t>
            </w:r>
            <w:r w:rsidR="00222930">
              <w:t>T</w:t>
            </w:r>
            <w:r w:rsidR="00222930">
              <w:rPr>
                <w:sz w:val="16"/>
              </w:rPr>
              <w:t>HE WORK</w:t>
            </w:r>
            <w:r w:rsidR="00222930">
              <w:t>,</w:t>
            </w:r>
            <w:r w:rsidR="00222930">
              <w:rPr>
                <w:sz w:val="16"/>
              </w:rPr>
              <w:t xml:space="preserve"> ACCOMPLISHMENTS AND </w:t>
            </w:r>
            <w:r w:rsidR="00222930">
              <w:t>5G</w:t>
            </w:r>
            <w:r w:rsidR="00222930">
              <w:rPr>
                <w:sz w:val="16"/>
              </w:rPr>
              <w:t xml:space="preserve"> ENABLEMENT</w:t>
            </w:r>
            <w:r w:rsidR="00222930">
              <w:tab/>
            </w:r>
            <w:r w:rsidR="00222930">
              <w:fldChar w:fldCharType="begin"/>
            </w:r>
            <w:r w:rsidR="00222930">
              <w:instrText>PAGEREF _Toc10076 \h</w:instrText>
            </w:r>
            <w:r w:rsidR="00222930">
              <w:fldChar w:fldCharType="separate"/>
            </w:r>
            <w:r w:rsidR="00222930">
              <w:t xml:space="preserve">4 </w:t>
            </w:r>
            <w:r w:rsidR="00222930">
              <w:fldChar w:fldCharType="end"/>
            </w:r>
          </w:hyperlink>
        </w:p>
        <w:p w14:paraId="4A8DAEC1" w14:textId="77777777" w:rsidR="004B5BA8" w:rsidRDefault="000D7EB2">
          <w:pPr>
            <w:pStyle w:val="TOC2"/>
            <w:tabs>
              <w:tab w:val="right" w:leader="dot" w:pos="10110"/>
            </w:tabs>
          </w:pPr>
          <w:hyperlink w:anchor="_Toc10077">
            <w:r w:rsidR="00222930">
              <w:t>1.4</w:t>
            </w:r>
            <w:r w:rsidR="00222930">
              <w:rPr>
                <w:rFonts w:ascii="Calibri" w:eastAsia="Calibri" w:hAnsi="Calibri" w:cs="Calibri"/>
                <w:b w:val="0"/>
                <w:sz w:val="22"/>
              </w:rPr>
              <w:t xml:space="preserve">  </w:t>
            </w:r>
            <w:r w:rsidR="00222930">
              <w:t>U</w:t>
            </w:r>
            <w:r w:rsidR="00222930">
              <w:rPr>
                <w:sz w:val="16"/>
              </w:rPr>
              <w:t>SE CASES AND TECHNOLOGIES</w:t>
            </w:r>
            <w:r w:rsidR="00222930">
              <w:tab/>
            </w:r>
            <w:r w:rsidR="00222930">
              <w:fldChar w:fldCharType="begin"/>
            </w:r>
            <w:r w:rsidR="00222930">
              <w:instrText>PAGEREF _Toc10077 \h</w:instrText>
            </w:r>
            <w:r w:rsidR="00222930">
              <w:fldChar w:fldCharType="separate"/>
            </w:r>
            <w:r w:rsidR="00222930">
              <w:t xml:space="preserve">4 </w:t>
            </w:r>
            <w:r w:rsidR="00222930">
              <w:fldChar w:fldCharType="end"/>
            </w:r>
          </w:hyperlink>
        </w:p>
        <w:p w14:paraId="3875FD14" w14:textId="77777777" w:rsidR="004B5BA8" w:rsidRDefault="000D7EB2">
          <w:pPr>
            <w:pStyle w:val="TOC2"/>
            <w:tabs>
              <w:tab w:val="right" w:leader="dot" w:pos="10110"/>
            </w:tabs>
          </w:pPr>
          <w:hyperlink w:anchor="_Toc10078">
            <w:r w:rsidR="00222930">
              <w:t>1.5</w:t>
            </w:r>
            <w:r w:rsidR="00222930">
              <w:rPr>
                <w:rFonts w:ascii="Calibri" w:eastAsia="Calibri" w:hAnsi="Calibri" w:cs="Calibri"/>
                <w:b w:val="0"/>
                <w:sz w:val="22"/>
              </w:rPr>
              <w:t xml:space="preserve"> </w:t>
            </w:r>
            <w:r w:rsidR="00222930">
              <w:t>F</w:t>
            </w:r>
            <w:r w:rsidR="00222930">
              <w:rPr>
                <w:sz w:val="16"/>
              </w:rPr>
              <w:t>UTURE AND POSITIONING</w:t>
            </w:r>
            <w:r w:rsidR="00222930">
              <w:tab/>
            </w:r>
            <w:r w:rsidR="00222930">
              <w:fldChar w:fldCharType="begin"/>
            </w:r>
            <w:r w:rsidR="00222930">
              <w:instrText>PAGEREF _Toc10078 \h</w:instrText>
            </w:r>
            <w:r w:rsidR="00222930">
              <w:fldChar w:fldCharType="separate"/>
            </w:r>
            <w:r w:rsidR="00222930">
              <w:t xml:space="preserve">4 </w:t>
            </w:r>
            <w:r w:rsidR="00222930">
              <w:fldChar w:fldCharType="end"/>
            </w:r>
          </w:hyperlink>
        </w:p>
        <w:p w14:paraId="217AAF60" w14:textId="77777777" w:rsidR="004B5BA8" w:rsidRDefault="000D7EB2">
          <w:pPr>
            <w:pStyle w:val="TOC1"/>
            <w:tabs>
              <w:tab w:val="right" w:leader="dot" w:pos="10110"/>
            </w:tabs>
          </w:pPr>
          <w:hyperlink w:anchor="_Toc10079">
            <w:r w:rsidR="00222930">
              <w:t>2.</w:t>
            </w:r>
            <w:r w:rsidR="00222930">
              <w:rPr>
                <w:rFonts w:ascii="Calibri" w:eastAsia="Calibri" w:hAnsi="Calibri" w:cs="Calibri"/>
                <w:b w:val="0"/>
                <w:sz w:val="22"/>
              </w:rPr>
              <w:t xml:space="preserve"> </w:t>
            </w:r>
            <w:r w:rsidR="00222930">
              <w:t>REFERENCES</w:t>
            </w:r>
            <w:r w:rsidR="00222930">
              <w:tab/>
            </w:r>
            <w:r w:rsidR="00222930">
              <w:fldChar w:fldCharType="begin"/>
            </w:r>
            <w:r w:rsidR="00222930">
              <w:instrText>PAGEREF _Toc10079 \h</w:instrText>
            </w:r>
            <w:r w:rsidR="00222930">
              <w:fldChar w:fldCharType="separate"/>
            </w:r>
            <w:r w:rsidR="00222930">
              <w:t xml:space="preserve">5 </w:t>
            </w:r>
            <w:r w:rsidR="00222930">
              <w:fldChar w:fldCharType="end"/>
            </w:r>
          </w:hyperlink>
        </w:p>
        <w:p w14:paraId="7AA6B7CF" w14:textId="77777777" w:rsidR="004B5BA8" w:rsidRDefault="000D7EB2">
          <w:pPr>
            <w:pStyle w:val="TOC1"/>
            <w:tabs>
              <w:tab w:val="right" w:leader="dot" w:pos="10110"/>
            </w:tabs>
          </w:pPr>
          <w:hyperlink w:anchor="_Toc10080">
            <w:r w:rsidR="00222930">
              <w:t>APPENDIX A.</w:t>
            </w:r>
            <w:r w:rsidR="00222930">
              <w:rPr>
                <w:rFonts w:ascii="Calibri" w:eastAsia="Calibri" w:hAnsi="Calibri" w:cs="Calibri"/>
                <w:b w:val="0"/>
                <w:sz w:val="22"/>
              </w:rPr>
              <w:t xml:space="preserve">  </w:t>
            </w:r>
            <w:r w:rsidR="00222930">
              <w:t>DRAFT / CANDIDATE HISTORY (INFORMATIVE)</w:t>
            </w:r>
            <w:r w:rsidR="00222930">
              <w:tab/>
            </w:r>
            <w:r w:rsidR="00222930">
              <w:fldChar w:fldCharType="begin"/>
            </w:r>
            <w:r w:rsidR="00222930">
              <w:instrText>PAGEREF _Toc10080 \h</w:instrText>
            </w:r>
            <w:r w:rsidR="00222930">
              <w:fldChar w:fldCharType="separate"/>
            </w:r>
            <w:r w:rsidR="00222930">
              <w:t xml:space="preserve">7 </w:t>
            </w:r>
            <w:r w:rsidR="00222930">
              <w:fldChar w:fldCharType="end"/>
            </w:r>
          </w:hyperlink>
        </w:p>
        <w:p w14:paraId="68E67A68" w14:textId="53C96CEC" w:rsidR="004B5BA8" w:rsidRDefault="00222930">
          <w:r>
            <w:fldChar w:fldCharType="end"/>
          </w:r>
        </w:p>
      </w:sdtContent>
    </w:sdt>
    <w:p w14:paraId="6CF2CB82" w14:textId="1249E313" w:rsidR="004B5BA8" w:rsidRDefault="00222930">
      <w:pPr>
        <w:spacing w:after="0" w:line="259" w:lineRule="auto"/>
        <w:ind w:left="0" w:firstLine="0"/>
      </w:pPr>
      <w:r>
        <w:rPr>
          <w:sz w:val="8"/>
        </w:rPr>
        <w:t xml:space="preserve"> </w:t>
      </w:r>
      <w:r>
        <w:br w:type="page"/>
      </w:r>
    </w:p>
    <w:p w14:paraId="3976315D" w14:textId="77777777" w:rsidR="004B5BA8" w:rsidRDefault="00222930">
      <w:pPr>
        <w:pStyle w:val="Heading1"/>
        <w:ind w:left="489" w:hanging="504"/>
      </w:pPr>
      <w:bookmarkStart w:id="1" w:name="_Toc10073"/>
      <w:r>
        <w:lastRenderedPageBreak/>
        <w:t xml:space="preserve">The State of the Lightweight M2M Standard – LwM2M </w:t>
      </w:r>
      <w:bookmarkEnd w:id="1"/>
    </w:p>
    <w:p w14:paraId="06508F6F" w14:textId="77777777" w:rsidR="004B5BA8" w:rsidRDefault="00222930">
      <w:pPr>
        <w:ind w:left="-5" w:right="39"/>
      </w:pPr>
      <w:r>
        <w:t xml:space="preserve">The IoT movement is slated to grow at one of technology’s fastest rates in coming years.  According to analyst firm IHS Markit, over </w:t>
      </w:r>
      <w:hyperlink r:id="rId8">
        <w:r>
          <w:rPr>
            <w:color w:val="0000FF"/>
            <w:u w:val="single" w:color="0000FF"/>
          </w:rPr>
          <w:t>62 billion devices</w:t>
        </w:r>
      </w:hyperlink>
      <w:hyperlink r:id="rId9">
        <w:r>
          <w:t xml:space="preserve"> </w:t>
        </w:r>
      </w:hyperlink>
      <w:r>
        <w:t xml:space="preserve">will be connected by the year 2023, essentially doubling in size from the 2019 mark. </w:t>
      </w:r>
    </w:p>
    <w:p w14:paraId="5B9B5636" w14:textId="77777777" w:rsidR="004B5BA8" w:rsidRDefault="00222930">
      <w:pPr>
        <w:ind w:left="-5" w:right="39"/>
      </w:pPr>
      <w:r>
        <w:t xml:space="preserve">With this growth, the scope and complexity of solutions expand as integrators bring together varying blends of components from different vendors and providers up and down the value chain.  Low power devices constrained in wireless bandwidth, computing power, memory and frequently running on batteries make up the bulk of the expected growth of the IoT.  Keeping these types of solutions at the very dense edge of the IoT at low cost, manageable and secure is critical for material growth to happen.   </w:t>
      </w:r>
    </w:p>
    <w:p w14:paraId="71473AFE" w14:textId="77777777" w:rsidR="004B5BA8" w:rsidRDefault="00222930">
      <w:pPr>
        <w:ind w:left="-5" w:right="39"/>
      </w:pPr>
      <w:r>
        <w:t xml:space="preserve">The inadequacy of decades-old protocols and lack of a true-to-form IoT device management standards impact solution providers, integrators and OEMs as these fragments fall short of meeting essential remote management requirements for this very device-dense edge of the IoT.   </w:t>
      </w:r>
    </w:p>
    <w:p w14:paraId="54AF1942" w14:textId="77777777" w:rsidR="004B5BA8" w:rsidRDefault="00222930">
      <w:pPr>
        <w:ind w:left="-5" w:right="39"/>
      </w:pPr>
      <w:r>
        <w:t xml:space="preserve">Another point to note about the growth of the IoT is how fragmented it is likely to remain.  IoT is at the core of digital transformation projects across all industries and verticals.  With this fragmentation, a unified approach to device management across all application areas is critical for solution providers.  Configurable management software shortens development and repurposing of software and hardware across use cases and enables scaling both horizontally across application areas and vertically in deployment size of any specific use case. </w:t>
      </w:r>
    </w:p>
    <w:p w14:paraId="5C68E3E6" w14:textId="77777777" w:rsidR="004B5BA8" w:rsidRDefault="00222930">
      <w:pPr>
        <w:ind w:left="-5" w:right="39"/>
      </w:pPr>
      <w:r>
        <w:t xml:space="preserve">To that end, the industry has come together to create a standard to address the need to remotely-manage devices in magnitudes that go from a few to millions.  Further, the standard must not only be efficient and streamlined but also be based on current practices and principles in architecture and wireless readiness. System integrators and solution providers must be able to count on standards to establish resource reuse, parameters subject to configuration, and data models. That standard is the OMA Lightweight M2M – LwM2M.   </w:t>
      </w:r>
    </w:p>
    <w:p w14:paraId="3EFBD01D" w14:textId="77777777" w:rsidR="004B5BA8" w:rsidRDefault="00222930">
      <w:pPr>
        <w:ind w:left="-5" w:right="39"/>
      </w:pPr>
      <w:r>
        <w:t xml:space="preserve">LwM2M takes a standards-based approach to these challenges, aiming at harmonizing the IoT ecosystem and providing a comprehensive and flexible solution, particularly for device management purposes, but also for service enablement. Key benefits of LwM2M include: </w:t>
      </w:r>
    </w:p>
    <w:p w14:paraId="5D6BAF0B" w14:textId="77777777" w:rsidR="004B5BA8" w:rsidRDefault="00222930">
      <w:pPr>
        <w:numPr>
          <w:ilvl w:val="0"/>
          <w:numId w:val="1"/>
        </w:numPr>
        <w:spacing w:after="8"/>
        <w:ind w:right="39" w:hanging="360"/>
      </w:pPr>
      <w:r>
        <w:t xml:space="preserve">Efficient protocol design, to address a vast range of devices including resource constrained ones </w:t>
      </w:r>
    </w:p>
    <w:p w14:paraId="07270FEB" w14:textId="77777777" w:rsidR="004B5BA8" w:rsidRDefault="00222930">
      <w:pPr>
        <w:numPr>
          <w:ilvl w:val="0"/>
          <w:numId w:val="1"/>
        </w:numPr>
        <w:spacing w:after="8"/>
        <w:ind w:right="39" w:hanging="360"/>
      </w:pPr>
      <w:r>
        <w:t xml:space="preserve">Standards centric and leveraging IETF core RFCs  </w:t>
      </w:r>
    </w:p>
    <w:p w14:paraId="009A5276" w14:textId="77777777" w:rsidR="004B5BA8" w:rsidRDefault="00222930">
      <w:pPr>
        <w:numPr>
          <w:ilvl w:val="0"/>
          <w:numId w:val="1"/>
        </w:numPr>
        <w:spacing w:after="9"/>
        <w:ind w:right="39" w:hanging="360"/>
      </w:pPr>
      <w:r>
        <w:t xml:space="preserve">Extensible Object Data Model, with new Objects being added on a regular basis by OMA/IPSO, 3rd party industry associations and vendor ecosystems </w:t>
      </w:r>
    </w:p>
    <w:p w14:paraId="3B5A3329" w14:textId="77777777" w:rsidR="004B5BA8" w:rsidRDefault="00222930">
      <w:pPr>
        <w:numPr>
          <w:ilvl w:val="0"/>
          <w:numId w:val="1"/>
        </w:numPr>
        <w:spacing w:after="8"/>
        <w:ind w:right="39" w:hanging="360"/>
      </w:pPr>
      <w:r>
        <w:t xml:space="preserve">Secure and robust, with transport and application layer security </w:t>
      </w:r>
    </w:p>
    <w:p w14:paraId="0E6991E0" w14:textId="77777777" w:rsidR="004B5BA8" w:rsidRDefault="00222930">
      <w:pPr>
        <w:spacing w:after="209" w:line="259" w:lineRule="auto"/>
        <w:ind w:left="1080" w:firstLine="0"/>
      </w:pPr>
      <w:r>
        <w:rPr>
          <w:rFonts w:ascii="Calibri" w:eastAsia="Calibri" w:hAnsi="Calibri" w:cs="Calibri"/>
        </w:rPr>
        <w:t xml:space="preserve"> </w:t>
      </w:r>
    </w:p>
    <w:p w14:paraId="030E057C" w14:textId="77777777" w:rsidR="004B5BA8" w:rsidRDefault="00222930">
      <w:pPr>
        <w:pStyle w:val="Heading2"/>
        <w:ind w:left="849" w:right="0" w:hanging="864"/>
      </w:pPr>
      <w:bookmarkStart w:id="2" w:name="_Toc10074"/>
      <w:r>
        <w:t xml:space="preserve">5G in a nutshell – The promise, opportunities, challenges </w:t>
      </w:r>
      <w:bookmarkEnd w:id="2"/>
    </w:p>
    <w:p w14:paraId="4BF527FC" w14:textId="77777777" w:rsidR="004B5BA8" w:rsidRDefault="00222930">
      <w:pPr>
        <w:spacing w:after="146"/>
        <w:ind w:left="-5" w:right="39"/>
      </w:pPr>
      <w:r>
        <w:t xml:space="preserve">The significant benefits of 5G—revolutionary speeds, low latency, high resilience, network elasticity, quality of service, connection density, energy efficiency, scalability and other game-changing aspects—are creating unprecedented opportunities for business innovation.   Imagine, for instance, what a typical 10x reduction in latency could do for a business that relies on telepresence. For a robotic arm that handles hazardous materials, latency of less than 10 milliseconds could eliminate the lag time that currently inhibits accuracy and control. </w:t>
      </w:r>
    </w:p>
    <w:p w14:paraId="170BC266" w14:textId="77777777" w:rsidR="004B5BA8" w:rsidRDefault="00222930">
      <w:pPr>
        <w:ind w:left="-5" w:right="39"/>
      </w:pPr>
      <w:r>
        <w:t>5G core network can be “sliced” and each piece can be configured to operate in parameters of speed, latency and device density aligned with the application type –</w:t>
      </w:r>
      <w:hyperlink r:id="rId10">
        <w:r>
          <w:t xml:space="preserve"> </w:t>
        </w:r>
      </w:hyperlink>
      <w:hyperlink r:id="rId11">
        <w:r>
          <w:rPr>
            <w:color w:val="0000FF"/>
            <w:u w:val="single" w:color="0000FF"/>
          </w:rPr>
          <w:t>massive</w:t>
        </w:r>
      </w:hyperlink>
      <w:hyperlink r:id="rId12">
        <w:r>
          <w:rPr>
            <w:color w:val="0000FF"/>
            <w:u w:val="single" w:color="0000FF"/>
          </w:rPr>
          <w:t xml:space="preserve"> </w:t>
        </w:r>
      </w:hyperlink>
      <w:hyperlink r:id="rId13">
        <w:r>
          <w:rPr>
            <w:color w:val="0000FF"/>
            <w:u w:val="single" w:color="0000FF"/>
          </w:rPr>
          <w:t>IoT</w:t>
        </w:r>
      </w:hyperlink>
      <w:hyperlink r:id="rId14">
        <w:r>
          <w:t>,</w:t>
        </w:r>
      </w:hyperlink>
      <w:r>
        <w:t xml:space="preserve"> enhanced mobile broadband or ultra-reliable, low latency (</w:t>
      </w:r>
      <w:proofErr w:type="spellStart"/>
      <w:r>
        <w:t>selfdriving</w:t>
      </w:r>
      <w:proofErr w:type="spellEnd"/>
      <w:r>
        <w:t xml:space="preserve"> automotive being its main target use case).  As 5G moves from its 2018 launch state with non-stand-alone networks delivering primarily fixed wireless services, to the ultimate stand-alone 5G which incorporates a completely new core network and a radio access network, opportunities will rise exponentially.  The extreme configurability of 5G will require that standards for device management mature with these advances both in pace and dimension. </w:t>
      </w:r>
    </w:p>
    <w:p w14:paraId="392D70FD" w14:textId="77777777" w:rsidR="004B5BA8" w:rsidRDefault="00222930">
      <w:pPr>
        <w:spacing w:after="212" w:line="259" w:lineRule="auto"/>
        <w:ind w:left="0" w:firstLine="0"/>
      </w:pPr>
      <w:r>
        <w:t xml:space="preserve"> </w:t>
      </w:r>
    </w:p>
    <w:p w14:paraId="1F545AA7" w14:textId="77777777" w:rsidR="004B5BA8" w:rsidRDefault="00222930">
      <w:pPr>
        <w:pStyle w:val="Heading2"/>
        <w:ind w:left="849" w:right="0" w:hanging="864"/>
      </w:pPr>
      <w:bookmarkStart w:id="3" w:name="_Toc10075"/>
      <w:r>
        <w:t xml:space="preserve">LwM2M is 5G ready </w:t>
      </w:r>
      <w:bookmarkEnd w:id="3"/>
    </w:p>
    <w:p w14:paraId="022669C0" w14:textId="77777777" w:rsidR="004B5BA8" w:rsidRDefault="00222930">
      <w:pPr>
        <w:ind w:left="-5" w:right="39"/>
      </w:pPr>
      <w:r>
        <w:t xml:space="preserve">With 3GPP Release 14 and 15, the Cellular IoT, comprised today of the LTE-M and NB-IoT standards, is well established in features and rollout timing to fulfill the role of 5G IoT for what is very likely to be the better part of the next decade.   It was conceived to support massive IoT device densities approaching one million end points per Km2. This exponential increase in density and number of endpoints in an IoT deployment will stress and crack legacy approaches to device management.  </w:t>
      </w:r>
    </w:p>
    <w:p w14:paraId="16B39D41" w14:textId="77777777" w:rsidR="004B5BA8" w:rsidRDefault="00222930">
      <w:pPr>
        <w:ind w:left="-5" w:right="39"/>
      </w:pPr>
      <w:r>
        <w:lastRenderedPageBreak/>
        <w:t xml:space="preserve">Adopters are in fact already reporting issues with the current state of device management.  In a recent survey by research firm </w:t>
      </w:r>
      <w:hyperlink r:id="rId15">
        <w:r>
          <w:rPr>
            <w:color w:val="0000FF"/>
            <w:u w:val="single" w:color="0000FF"/>
          </w:rPr>
          <w:t>IDC</w:t>
        </w:r>
      </w:hyperlink>
      <w:hyperlink r:id="rId16">
        <w:r>
          <w:t>,</w:t>
        </w:r>
      </w:hyperlink>
      <w:r>
        <w:t xml:space="preserve"> a key finding was that “Security and cost continue to be the top inhibitors to IoT projects. Beyond those challenges, organizations continue to struggle with skills gaps and infrastructure readiness.” </w:t>
      </w:r>
    </w:p>
    <w:p w14:paraId="03A48A6E" w14:textId="77777777" w:rsidR="004B5BA8" w:rsidRDefault="00222930">
      <w:pPr>
        <w:ind w:left="-5" w:right="39"/>
      </w:pPr>
      <w:r>
        <w:t xml:space="preserve">With low-power, low-bandwidth devices making up a lot of this new category of end points, constraints on resources like power consumption, processing capabilities and use of the cellular radio link are high and getting higher.  Beyond the cost of the device itself, the cost of operating them will add to the challenge.  Devices must be abundantly configurable and over-the air upgradable to recover from issues, to stay compliant, and to support new capabilities as networks evolve.  In the massive IoT scenario, having to physically touch even a small fraction of a large deployment for upgrades and software issue resolution could break the business case.   </w:t>
      </w:r>
    </w:p>
    <w:p w14:paraId="5A5F50D6" w14:textId="77777777" w:rsidR="004B5BA8" w:rsidRDefault="00222930">
      <w:pPr>
        <w:spacing w:after="215" w:line="259" w:lineRule="auto"/>
        <w:ind w:left="0" w:firstLine="0"/>
      </w:pPr>
      <w:r>
        <w:t xml:space="preserve"> </w:t>
      </w:r>
    </w:p>
    <w:p w14:paraId="15AD0866" w14:textId="77777777" w:rsidR="004B5BA8" w:rsidRDefault="00222930">
      <w:pPr>
        <w:pStyle w:val="Heading2"/>
        <w:ind w:left="849" w:right="0" w:hanging="864"/>
      </w:pPr>
      <w:bookmarkStart w:id="4" w:name="_Toc10076"/>
      <w:r>
        <w:t xml:space="preserve">LwM2M – The work, accomplishments and 5G enablement </w:t>
      </w:r>
      <w:bookmarkEnd w:id="4"/>
    </w:p>
    <w:p w14:paraId="2A27DEB0" w14:textId="77777777" w:rsidR="004B5BA8" w:rsidRDefault="00222930">
      <w:pPr>
        <w:ind w:left="-5" w:right="39"/>
      </w:pPr>
      <w:r>
        <w:t xml:space="preserve">When LTE-M and NB-IoT entered the IoT stage, LwM2M became the natural path for the industry looking for a device management solution.  LwM2M was designed to address specifically this category of low power, low data, constrained resource devices which made it easy to incorporate cellular IoT network technologies such as LTE- M and NB IoT. </w:t>
      </w:r>
    </w:p>
    <w:p w14:paraId="5696D12A" w14:textId="77777777" w:rsidR="004B5BA8" w:rsidRDefault="00222930">
      <w:pPr>
        <w:ind w:left="-5" w:right="39"/>
      </w:pPr>
      <w:r>
        <w:t xml:space="preserve">During development, LwM2M objects were extended to support new requirements and features for these technologies. These are key capabilities of core objects: </w:t>
      </w:r>
    </w:p>
    <w:p w14:paraId="72E3202E" w14:textId="77777777" w:rsidR="004B5BA8" w:rsidRDefault="00222930">
      <w:pPr>
        <w:numPr>
          <w:ilvl w:val="0"/>
          <w:numId w:val="2"/>
        </w:numPr>
        <w:ind w:right="39" w:hanging="360"/>
      </w:pPr>
      <w:r>
        <w:t xml:space="preserve">Bearer capabilities and parameters such as radio signal strength and link quality or cellular network characteristics </w:t>
      </w:r>
    </w:p>
    <w:p w14:paraId="0E568272" w14:textId="77777777" w:rsidR="004B5BA8" w:rsidRDefault="00222930">
      <w:pPr>
        <w:numPr>
          <w:ilvl w:val="0"/>
          <w:numId w:val="2"/>
        </w:numPr>
        <w:ind w:right="39" w:hanging="360"/>
      </w:pPr>
      <w:r>
        <w:t xml:space="preserve">Cellular configuration parameters such as bearer, APN and PDN Type and others </w:t>
      </w:r>
    </w:p>
    <w:p w14:paraId="27D6FB19" w14:textId="77777777" w:rsidR="004B5BA8" w:rsidRDefault="00222930">
      <w:pPr>
        <w:numPr>
          <w:ilvl w:val="0"/>
          <w:numId w:val="2"/>
        </w:numPr>
        <w:ind w:right="39" w:hanging="360"/>
      </w:pPr>
      <w:r>
        <w:t xml:space="preserve">Network statistics, including IP and non-IP data </w:t>
      </w:r>
    </w:p>
    <w:p w14:paraId="7D6BC3F2" w14:textId="77777777" w:rsidR="004B5BA8" w:rsidRDefault="00222930">
      <w:pPr>
        <w:numPr>
          <w:ilvl w:val="0"/>
          <w:numId w:val="2"/>
        </w:numPr>
        <w:spacing w:after="78"/>
        <w:ind w:right="39" w:hanging="360"/>
      </w:pPr>
      <w:r>
        <w:t xml:space="preserve">Low power modes, PSM and </w:t>
      </w:r>
      <w:proofErr w:type="spellStart"/>
      <w:r>
        <w:t>eDRX</w:t>
      </w:r>
      <w:proofErr w:type="spellEnd"/>
      <w:r>
        <w:t xml:space="preserve"> configuration and timers  </w:t>
      </w:r>
    </w:p>
    <w:p w14:paraId="2A492143" w14:textId="77777777" w:rsidR="004B5BA8" w:rsidRDefault="00222930">
      <w:pPr>
        <w:ind w:left="-5" w:right="39"/>
      </w:pPr>
      <w:r>
        <w:t xml:space="preserve">The latest version - LwM2M 1.1 - introduced several new transport bindings including support for Non-IP as defined by </w:t>
      </w:r>
      <w:hyperlink r:id="rId17">
        <w:r>
          <w:rPr>
            <w:color w:val="0000FF"/>
            <w:u w:val="single" w:color="0000FF"/>
          </w:rPr>
          <w:t>3GPP TS 23.401</w:t>
        </w:r>
      </w:hyperlink>
      <w:hyperlink r:id="rId18">
        <w:r>
          <w:t xml:space="preserve"> </w:t>
        </w:r>
      </w:hyperlink>
      <w:r>
        <w:t xml:space="preserve">which further optimizes link utilization. </w:t>
      </w:r>
    </w:p>
    <w:p w14:paraId="528DD50A" w14:textId="77777777" w:rsidR="004B5BA8" w:rsidRDefault="00222930">
      <w:pPr>
        <w:spacing w:after="214" w:line="259" w:lineRule="auto"/>
        <w:ind w:left="0" w:firstLine="0"/>
      </w:pPr>
      <w:r>
        <w:t xml:space="preserve"> </w:t>
      </w:r>
    </w:p>
    <w:p w14:paraId="2632C856" w14:textId="77777777" w:rsidR="004B5BA8" w:rsidRDefault="00222930">
      <w:pPr>
        <w:pStyle w:val="Heading2"/>
        <w:ind w:left="873" w:right="0" w:hanging="888"/>
      </w:pPr>
      <w:bookmarkStart w:id="5" w:name="_Toc10077"/>
      <w:r>
        <w:t xml:space="preserve">Use cases and technologies  </w:t>
      </w:r>
      <w:bookmarkEnd w:id="5"/>
    </w:p>
    <w:p w14:paraId="053C4DB5" w14:textId="77777777" w:rsidR="004B5BA8" w:rsidRDefault="00222930">
      <w:pPr>
        <w:ind w:left="-5" w:right="39"/>
      </w:pPr>
      <w:r>
        <w:t xml:space="preserve">LwM2M adoption across verticals and use cases is growing.  Leading adopter areas include automotive, agriculture, smart city, smart metering and asset tracking. Major mobile network operators globally have already deployed LwM2M servers in full production environments; with many of them requiring LwM2M support for network device approvals.    </w:t>
      </w:r>
    </w:p>
    <w:p w14:paraId="757DD0A6" w14:textId="77777777" w:rsidR="004B5BA8" w:rsidRDefault="00222930">
      <w:pPr>
        <w:ind w:left="-5" w:right="39"/>
      </w:pPr>
      <w:r>
        <w:t>Interest in LwM2M is now well rooted across the industry with leading hardware and chipset makers embracing the standard. With that, the number of LwM2M-compliant devices will continue growing at faster pace into 2020 and beyond.</w:t>
      </w:r>
      <w:r>
        <w:rPr>
          <w:b/>
        </w:rPr>
        <w:t xml:space="preserve"> </w:t>
      </w:r>
    </w:p>
    <w:p w14:paraId="76BA5D79" w14:textId="77777777" w:rsidR="004B5BA8" w:rsidRDefault="00222930">
      <w:pPr>
        <w:spacing w:after="212" w:line="259" w:lineRule="auto"/>
        <w:ind w:left="0" w:firstLine="0"/>
      </w:pPr>
      <w:r>
        <w:t xml:space="preserve"> </w:t>
      </w:r>
    </w:p>
    <w:p w14:paraId="66A0DDD2" w14:textId="77777777" w:rsidR="004B5BA8" w:rsidRDefault="00222930">
      <w:pPr>
        <w:pStyle w:val="Heading2"/>
        <w:ind w:left="873" w:right="0" w:hanging="888"/>
      </w:pPr>
      <w:bookmarkStart w:id="6" w:name="_Toc10078"/>
      <w:r>
        <w:t xml:space="preserve">Future and positioning </w:t>
      </w:r>
      <w:bookmarkEnd w:id="6"/>
    </w:p>
    <w:p w14:paraId="446AACA9" w14:textId="77777777" w:rsidR="004B5BA8" w:rsidRDefault="00222930">
      <w:pPr>
        <w:ind w:left="-5" w:right="39"/>
      </w:pPr>
      <w:r>
        <w:t xml:space="preserve">LwM2M is an ideal device management solution for massive IoT, with many success stories with LTE-M and NB-IOT deployments. Because technology independent aspects of device management are already addressed in LwM2M, it will remain the standard of choice as it grows to cover a broader scope of use cases and device types in 5G, beyond massive IoT. OMA Device Management and Service Enablement Working Group (DMSE WG) has an active work item for 5G in its roadmap (Including for example 5G enhancements to Cellular Network Connectivity object, Bearer Selection object, APN Connection Profile, 5G QoS parameters, Connectivity Monitoring) to add new functionalities as 5G specifications evolve. </w:t>
      </w:r>
    </w:p>
    <w:p w14:paraId="4B6EB466" w14:textId="77777777" w:rsidR="004B5BA8" w:rsidRDefault="00222930">
      <w:pPr>
        <w:ind w:left="-5" w:right="39"/>
      </w:pPr>
      <w:r>
        <w:t xml:space="preserve">The LwM2M standard supports the needs of key use cases from a variety of industry verticals. OMA is an </w:t>
      </w:r>
      <w:proofErr w:type="gramStart"/>
      <w:r>
        <w:t>open standards</w:t>
      </w:r>
      <w:proofErr w:type="gramEnd"/>
      <w:r>
        <w:t xml:space="preserve"> setting body and invites new members and industry stakeholders to participate in expanding the reach of the standard into the future.  Bring your expertise and insights from your industry into the process.  Become a member and add to the representation of your needs and requirements to the forum.   </w:t>
      </w:r>
    </w:p>
    <w:p w14:paraId="710B8132" w14:textId="77777777" w:rsidR="004B5BA8" w:rsidRDefault="000D7EB2">
      <w:pPr>
        <w:spacing w:after="0" w:line="259" w:lineRule="auto"/>
        <w:ind w:left="0" w:firstLine="0"/>
      </w:pPr>
      <w:hyperlink r:id="rId19">
        <w:r w:rsidR="00222930">
          <w:rPr>
            <w:b/>
            <w:color w:val="0000FF"/>
            <w:u w:val="single" w:color="0000FF"/>
          </w:rPr>
          <w:t>Join OMA now</w:t>
        </w:r>
      </w:hyperlink>
      <w:hyperlink r:id="rId20">
        <w:r w:rsidR="00222930">
          <w:rPr>
            <w:b/>
          </w:rPr>
          <w:t>.</w:t>
        </w:r>
      </w:hyperlink>
      <w:r w:rsidR="00222930">
        <w:rPr>
          <w:b/>
        </w:rPr>
        <w:t xml:space="preserve"> </w:t>
      </w:r>
    </w:p>
    <w:p w14:paraId="61685AB1" w14:textId="77777777" w:rsidR="004B5BA8" w:rsidRDefault="00222930">
      <w:pPr>
        <w:pStyle w:val="Heading1"/>
        <w:ind w:left="489" w:hanging="504"/>
      </w:pPr>
      <w:bookmarkStart w:id="7" w:name="_Toc10079"/>
      <w:r>
        <w:lastRenderedPageBreak/>
        <w:t xml:space="preserve">References </w:t>
      </w:r>
      <w:bookmarkEnd w:id="7"/>
    </w:p>
    <w:tbl>
      <w:tblPr>
        <w:tblStyle w:val="TableGrid"/>
        <w:tblW w:w="9667" w:type="dxa"/>
        <w:tblInd w:w="0" w:type="dxa"/>
        <w:tblLook w:val="04A0" w:firstRow="1" w:lastRow="0" w:firstColumn="1" w:lastColumn="0" w:noHBand="0" w:noVBand="1"/>
      </w:tblPr>
      <w:tblGrid>
        <w:gridCol w:w="2268"/>
        <w:gridCol w:w="7399"/>
      </w:tblGrid>
      <w:tr w:rsidR="004B5BA8" w14:paraId="39F0768B" w14:textId="77777777">
        <w:trPr>
          <w:trHeight w:val="264"/>
        </w:trPr>
        <w:tc>
          <w:tcPr>
            <w:tcW w:w="2268" w:type="dxa"/>
            <w:tcBorders>
              <w:top w:val="nil"/>
              <w:left w:val="nil"/>
              <w:bottom w:val="nil"/>
              <w:right w:val="nil"/>
            </w:tcBorders>
          </w:tcPr>
          <w:p w14:paraId="7B6C1821" w14:textId="77777777" w:rsidR="004B5BA8" w:rsidRDefault="00222930">
            <w:pPr>
              <w:spacing w:after="0" w:line="259" w:lineRule="auto"/>
              <w:ind w:left="108" w:firstLine="0"/>
            </w:pPr>
            <w:r>
              <w:rPr>
                <w:b/>
                <w:sz w:val="18"/>
              </w:rPr>
              <w:t xml:space="preserve">[IDC] </w:t>
            </w:r>
          </w:p>
        </w:tc>
        <w:tc>
          <w:tcPr>
            <w:tcW w:w="7398" w:type="dxa"/>
            <w:tcBorders>
              <w:top w:val="nil"/>
              <w:left w:val="nil"/>
              <w:bottom w:val="nil"/>
              <w:right w:val="nil"/>
            </w:tcBorders>
          </w:tcPr>
          <w:p w14:paraId="7CE6B667" w14:textId="77777777" w:rsidR="004B5BA8" w:rsidRDefault="00222930">
            <w:pPr>
              <w:spacing w:after="0" w:line="259" w:lineRule="auto"/>
              <w:ind w:left="0" w:firstLine="0"/>
            </w:pPr>
            <w:r>
              <w:rPr>
                <w:sz w:val="18"/>
              </w:rPr>
              <w:t>International Data Corporation</w:t>
            </w:r>
            <w:hyperlink r:id="rId21">
              <w:r>
                <w:rPr>
                  <w:sz w:val="18"/>
                </w:rPr>
                <w:t xml:space="preserve"> </w:t>
              </w:r>
            </w:hyperlink>
            <w:hyperlink r:id="rId22">
              <w:r>
                <w:rPr>
                  <w:color w:val="0000FF"/>
                  <w:sz w:val="18"/>
                  <w:u w:val="single" w:color="0000FF"/>
                </w:rPr>
                <w:t>https://www.idc.com/getdoc.jsp?containerId=prUS45426819</w:t>
              </w:r>
            </w:hyperlink>
            <w:hyperlink r:id="rId23">
              <w:r>
                <w:rPr>
                  <w:sz w:val="18"/>
                </w:rPr>
                <w:t xml:space="preserve"> </w:t>
              </w:r>
            </w:hyperlink>
            <w:r>
              <w:rPr>
                <w:sz w:val="18"/>
              </w:rPr>
              <w:t xml:space="preserve"> </w:t>
            </w:r>
          </w:p>
        </w:tc>
      </w:tr>
      <w:tr w:rsidR="004B5BA8" w14:paraId="0B072326" w14:textId="77777777">
        <w:trPr>
          <w:trHeight w:val="328"/>
        </w:trPr>
        <w:tc>
          <w:tcPr>
            <w:tcW w:w="2268" w:type="dxa"/>
            <w:tcBorders>
              <w:top w:val="nil"/>
              <w:left w:val="nil"/>
              <w:bottom w:val="nil"/>
              <w:right w:val="nil"/>
            </w:tcBorders>
          </w:tcPr>
          <w:p w14:paraId="59008657" w14:textId="77777777" w:rsidR="004B5BA8" w:rsidRDefault="00222930">
            <w:pPr>
              <w:spacing w:after="0" w:line="259" w:lineRule="auto"/>
              <w:ind w:left="108" w:firstLine="0"/>
            </w:pPr>
            <w:r>
              <w:rPr>
                <w:b/>
                <w:sz w:val="18"/>
              </w:rPr>
              <w:t xml:space="preserve">[3GPP TS 23.401] </w:t>
            </w:r>
          </w:p>
        </w:tc>
        <w:tc>
          <w:tcPr>
            <w:tcW w:w="7398" w:type="dxa"/>
            <w:tcBorders>
              <w:top w:val="nil"/>
              <w:left w:val="nil"/>
              <w:bottom w:val="nil"/>
              <w:right w:val="nil"/>
            </w:tcBorders>
          </w:tcPr>
          <w:p w14:paraId="042E9B44" w14:textId="77777777" w:rsidR="004B5BA8" w:rsidRDefault="000D7EB2">
            <w:pPr>
              <w:spacing w:after="0" w:line="259" w:lineRule="auto"/>
              <w:ind w:left="0" w:firstLine="0"/>
              <w:jc w:val="both"/>
            </w:pPr>
            <w:hyperlink r:id="rId24">
              <w:r w:rsidR="00222930">
                <w:rPr>
                  <w:color w:val="0000FF"/>
                  <w:sz w:val="18"/>
                  <w:u w:val="single" w:color="0000FF"/>
                </w:rPr>
                <w:t>https://portal.3gpp.org/desktopmodules/Specifications/SpecificationDetails.aspx?specificationId=849</w:t>
              </w:r>
            </w:hyperlink>
            <w:hyperlink r:id="rId25">
              <w:r w:rsidR="00222930">
                <w:rPr>
                  <w:sz w:val="18"/>
                </w:rPr>
                <w:t xml:space="preserve"> </w:t>
              </w:r>
            </w:hyperlink>
            <w:r w:rsidR="00222930">
              <w:rPr>
                <w:sz w:val="18"/>
              </w:rPr>
              <w:t xml:space="preserve"> </w:t>
            </w:r>
          </w:p>
        </w:tc>
      </w:tr>
      <w:tr w:rsidR="004B5BA8" w14:paraId="4918904A" w14:textId="77777777">
        <w:trPr>
          <w:trHeight w:val="533"/>
        </w:trPr>
        <w:tc>
          <w:tcPr>
            <w:tcW w:w="2268" w:type="dxa"/>
            <w:tcBorders>
              <w:top w:val="nil"/>
              <w:left w:val="nil"/>
              <w:bottom w:val="nil"/>
              <w:right w:val="nil"/>
            </w:tcBorders>
          </w:tcPr>
          <w:p w14:paraId="2BDC190F" w14:textId="77777777" w:rsidR="004B5BA8" w:rsidRDefault="00222930">
            <w:pPr>
              <w:spacing w:after="0" w:line="259" w:lineRule="auto"/>
              <w:ind w:left="108" w:firstLine="0"/>
            </w:pPr>
            <w:r>
              <w:rPr>
                <w:b/>
                <w:sz w:val="18"/>
              </w:rPr>
              <w:t xml:space="preserve">[LwM2M_IoT] </w:t>
            </w:r>
          </w:p>
        </w:tc>
        <w:tc>
          <w:tcPr>
            <w:tcW w:w="7398" w:type="dxa"/>
            <w:tcBorders>
              <w:top w:val="nil"/>
              <w:left w:val="nil"/>
              <w:bottom w:val="nil"/>
              <w:right w:val="nil"/>
            </w:tcBorders>
          </w:tcPr>
          <w:p w14:paraId="35BA2D64" w14:textId="77777777" w:rsidR="004B5BA8" w:rsidRDefault="00222930">
            <w:pPr>
              <w:spacing w:after="0" w:line="259" w:lineRule="auto"/>
              <w:ind w:left="0" w:firstLine="0"/>
            </w:pPr>
            <w:proofErr w:type="spellStart"/>
            <w:r>
              <w:rPr>
                <w:sz w:val="18"/>
              </w:rPr>
              <w:t>OMASpecWorks</w:t>
            </w:r>
            <w:proofErr w:type="spellEnd"/>
            <w:r>
              <w:rPr>
                <w:sz w:val="18"/>
              </w:rPr>
              <w:t xml:space="preserve">, ‘Building the Foundation for the Internet of Things’: </w:t>
            </w:r>
          </w:p>
          <w:p w14:paraId="426C201B" w14:textId="77777777" w:rsidR="004B5BA8" w:rsidRDefault="000D7EB2">
            <w:pPr>
              <w:spacing w:after="0" w:line="259" w:lineRule="auto"/>
              <w:ind w:left="0" w:firstLine="0"/>
            </w:pPr>
            <w:hyperlink r:id="rId26">
              <w:r w:rsidR="00222930">
                <w:rPr>
                  <w:color w:val="0000FF"/>
                  <w:sz w:val="18"/>
                  <w:u w:val="single" w:color="0000FF"/>
                </w:rPr>
                <w:t>https://www.omaspecworks.org/building</w:t>
              </w:r>
            </w:hyperlink>
            <w:hyperlink r:id="rId27">
              <w:r w:rsidR="00222930">
                <w:rPr>
                  <w:color w:val="0000FF"/>
                  <w:sz w:val="18"/>
                  <w:u w:val="single" w:color="0000FF"/>
                </w:rPr>
                <w:t>-</w:t>
              </w:r>
            </w:hyperlink>
            <w:hyperlink r:id="rId28">
              <w:r w:rsidR="00222930">
                <w:rPr>
                  <w:color w:val="0000FF"/>
                  <w:sz w:val="18"/>
                  <w:u w:val="single" w:color="0000FF"/>
                </w:rPr>
                <w:t>the</w:t>
              </w:r>
            </w:hyperlink>
            <w:hyperlink r:id="rId29">
              <w:r w:rsidR="00222930">
                <w:rPr>
                  <w:color w:val="0000FF"/>
                  <w:sz w:val="18"/>
                  <w:u w:val="single" w:color="0000FF"/>
                </w:rPr>
                <w:t>-</w:t>
              </w:r>
            </w:hyperlink>
            <w:hyperlink r:id="rId30">
              <w:r w:rsidR="00222930">
                <w:rPr>
                  <w:color w:val="0000FF"/>
                  <w:sz w:val="18"/>
                  <w:u w:val="single" w:color="0000FF"/>
                </w:rPr>
                <w:t>foundation</w:t>
              </w:r>
            </w:hyperlink>
            <w:hyperlink r:id="rId31">
              <w:r w:rsidR="00222930">
                <w:rPr>
                  <w:color w:val="0000FF"/>
                  <w:sz w:val="18"/>
                  <w:u w:val="single" w:color="0000FF"/>
                </w:rPr>
                <w:t>-</w:t>
              </w:r>
            </w:hyperlink>
            <w:hyperlink r:id="rId32">
              <w:r w:rsidR="00222930">
                <w:rPr>
                  <w:color w:val="0000FF"/>
                  <w:sz w:val="18"/>
                  <w:u w:val="single" w:color="0000FF"/>
                </w:rPr>
                <w:t>for</w:t>
              </w:r>
            </w:hyperlink>
            <w:hyperlink r:id="rId33">
              <w:r w:rsidR="00222930">
                <w:rPr>
                  <w:color w:val="0000FF"/>
                  <w:sz w:val="18"/>
                  <w:u w:val="single" w:color="0000FF"/>
                </w:rPr>
                <w:t>-</w:t>
              </w:r>
            </w:hyperlink>
            <w:hyperlink r:id="rId34">
              <w:r w:rsidR="00222930">
                <w:rPr>
                  <w:color w:val="0000FF"/>
                  <w:sz w:val="18"/>
                  <w:u w:val="single" w:color="0000FF"/>
                </w:rPr>
                <w:t>the</w:t>
              </w:r>
            </w:hyperlink>
            <w:hyperlink r:id="rId35">
              <w:r w:rsidR="00222930">
                <w:rPr>
                  <w:color w:val="0000FF"/>
                  <w:sz w:val="18"/>
                  <w:u w:val="single" w:color="0000FF"/>
                </w:rPr>
                <w:t>-</w:t>
              </w:r>
            </w:hyperlink>
            <w:hyperlink r:id="rId36">
              <w:r w:rsidR="00222930">
                <w:rPr>
                  <w:color w:val="0000FF"/>
                  <w:sz w:val="18"/>
                  <w:u w:val="single" w:color="0000FF"/>
                </w:rPr>
                <w:t>internet</w:t>
              </w:r>
            </w:hyperlink>
            <w:hyperlink r:id="rId37">
              <w:r w:rsidR="00222930">
                <w:rPr>
                  <w:color w:val="0000FF"/>
                  <w:sz w:val="18"/>
                  <w:u w:val="single" w:color="0000FF"/>
                </w:rPr>
                <w:t>-</w:t>
              </w:r>
            </w:hyperlink>
            <w:hyperlink r:id="rId38">
              <w:r w:rsidR="00222930">
                <w:rPr>
                  <w:color w:val="0000FF"/>
                  <w:sz w:val="18"/>
                  <w:u w:val="single" w:color="0000FF"/>
                </w:rPr>
                <w:t>of</w:t>
              </w:r>
            </w:hyperlink>
            <w:hyperlink r:id="rId39">
              <w:r w:rsidR="00222930">
                <w:rPr>
                  <w:color w:val="0000FF"/>
                  <w:sz w:val="18"/>
                  <w:u w:val="single" w:color="0000FF"/>
                </w:rPr>
                <w:t>-</w:t>
              </w:r>
            </w:hyperlink>
            <w:hyperlink r:id="rId40">
              <w:r w:rsidR="00222930">
                <w:rPr>
                  <w:color w:val="0000FF"/>
                  <w:sz w:val="18"/>
                  <w:u w:val="single" w:color="0000FF"/>
                </w:rPr>
                <w:t>things</w:t>
              </w:r>
            </w:hyperlink>
            <w:hyperlink r:id="rId41">
              <w:r w:rsidR="00222930">
                <w:rPr>
                  <w:color w:val="0000FF"/>
                  <w:sz w:val="18"/>
                  <w:u w:val="single" w:color="0000FF"/>
                </w:rPr>
                <w:t>-</w:t>
              </w:r>
            </w:hyperlink>
            <w:hyperlink r:id="rId42">
              <w:r w:rsidR="00222930">
                <w:rPr>
                  <w:color w:val="0000FF"/>
                  <w:sz w:val="18"/>
                  <w:u w:val="single" w:color="0000FF"/>
                </w:rPr>
                <w:t>2/</w:t>
              </w:r>
            </w:hyperlink>
            <w:hyperlink r:id="rId43">
              <w:r w:rsidR="00222930">
                <w:rPr>
                  <w:sz w:val="18"/>
                </w:rPr>
                <w:t xml:space="preserve"> </w:t>
              </w:r>
            </w:hyperlink>
            <w:r w:rsidR="00222930">
              <w:rPr>
                <w:sz w:val="18"/>
              </w:rPr>
              <w:t xml:space="preserve"> </w:t>
            </w:r>
          </w:p>
        </w:tc>
      </w:tr>
      <w:tr w:rsidR="004B5BA8" w14:paraId="303804A3" w14:textId="77777777">
        <w:trPr>
          <w:trHeight w:val="535"/>
        </w:trPr>
        <w:tc>
          <w:tcPr>
            <w:tcW w:w="2268" w:type="dxa"/>
            <w:tcBorders>
              <w:top w:val="nil"/>
              <w:left w:val="nil"/>
              <w:bottom w:val="nil"/>
              <w:right w:val="nil"/>
            </w:tcBorders>
          </w:tcPr>
          <w:p w14:paraId="4E64309D" w14:textId="77777777" w:rsidR="004B5BA8" w:rsidRDefault="00222930">
            <w:pPr>
              <w:spacing w:after="0" w:line="259" w:lineRule="auto"/>
              <w:ind w:left="108" w:firstLine="0"/>
            </w:pPr>
            <w:r>
              <w:rPr>
                <w:b/>
                <w:sz w:val="18"/>
              </w:rPr>
              <w:t xml:space="preserve">[LwM2M_WP_M2M] </w:t>
            </w:r>
          </w:p>
        </w:tc>
        <w:tc>
          <w:tcPr>
            <w:tcW w:w="7398" w:type="dxa"/>
            <w:tcBorders>
              <w:top w:val="nil"/>
              <w:left w:val="nil"/>
              <w:bottom w:val="nil"/>
              <w:right w:val="nil"/>
            </w:tcBorders>
          </w:tcPr>
          <w:p w14:paraId="74A9C6AE" w14:textId="77777777" w:rsidR="004B5BA8" w:rsidRDefault="00222930">
            <w:pPr>
              <w:spacing w:after="0" w:line="259" w:lineRule="auto"/>
              <w:ind w:left="0" w:firstLine="0"/>
            </w:pPr>
            <w:proofErr w:type="spellStart"/>
            <w:r>
              <w:rPr>
                <w:sz w:val="18"/>
              </w:rPr>
              <w:t>OMASpecWorks</w:t>
            </w:r>
            <w:proofErr w:type="spellEnd"/>
            <w:r>
              <w:rPr>
                <w:sz w:val="18"/>
              </w:rPr>
              <w:t xml:space="preserve">, ‘Lightweight M2M 1.1 White Paper by Ericsson and T-Mobile’ </w:t>
            </w:r>
            <w:hyperlink r:id="rId44">
              <w:r>
                <w:rPr>
                  <w:color w:val="0000FF"/>
                  <w:sz w:val="18"/>
                  <w:u w:val="single" w:color="0000FF"/>
                </w:rPr>
                <w:t>https://www.omaspecworks.org/lightweight</w:t>
              </w:r>
            </w:hyperlink>
            <w:hyperlink r:id="rId45">
              <w:r>
                <w:rPr>
                  <w:color w:val="0000FF"/>
                  <w:sz w:val="18"/>
                  <w:u w:val="single" w:color="0000FF"/>
                </w:rPr>
                <w:t>-</w:t>
              </w:r>
            </w:hyperlink>
            <w:hyperlink r:id="rId46">
              <w:r>
                <w:rPr>
                  <w:color w:val="0000FF"/>
                  <w:sz w:val="18"/>
                  <w:u w:val="single" w:color="0000FF"/>
                </w:rPr>
                <w:t>m2m</w:t>
              </w:r>
            </w:hyperlink>
            <w:hyperlink r:id="rId47">
              <w:r>
                <w:rPr>
                  <w:color w:val="0000FF"/>
                  <w:sz w:val="18"/>
                  <w:u w:val="single" w:color="0000FF"/>
                </w:rPr>
                <w:t>-</w:t>
              </w:r>
            </w:hyperlink>
            <w:hyperlink r:id="rId48">
              <w:r>
                <w:rPr>
                  <w:color w:val="0000FF"/>
                  <w:sz w:val="18"/>
                  <w:u w:val="single" w:color="0000FF"/>
                </w:rPr>
                <w:t>1</w:t>
              </w:r>
            </w:hyperlink>
            <w:hyperlink r:id="rId49">
              <w:r>
                <w:rPr>
                  <w:color w:val="0000FF"/>
                  <w:sz w:val="18"/>
                  <w:u w:val="single" w:color="0000FF"/>
                </w:rPr>
                <w:t>-</w:t>
              </w:r>
            </w:hyperlink>
            <w:hyperlink r:id="rId50">
              <w:r>
                <w:rPr>
                  <w:color w:val="0000FF"/>
                  <w:sz w:val="18"/>
                  <w:u w:val="single" w:color="0000FF"/>
                </w:rPr>
                <w:t>1</w:t>
              </w:r>
            </w:hyperlink>
            <w:hyperlink r:id="rId51">
              <w:r>
                <w:rPr>
                  <w:color w:val="0000FF"/>
                  <w:sz w:val="18"/>
                  <w:u w:val="single" w:color="0000FF"/>
                </w:rPr>
                <w:t>-</w:t>
              </w:r>
            </w:hyperlink>
            <w:hyperlink r:id="rId52">
              <w:r>
                <w:rPr>
                  <w:color w:val="0000FF"/>
                  <w:sz w:val="18"/>
                  <w:u w:val="single" w:color="0000FF"/>
                </w:rPr>
                <w:t>white</w:t>
              </w:r>
            </w:hyperlink>
            <w:hyperlink r:id="rId53">
              <w:r>
                <w:rPr>
                  <w:color w:val="0000FF"/>
                  <w:sz w:val="18"/>
                  <w:u w:val="single" w:color="0000FF"/>
                </w:rPr>
                <w:t>-</w:t>
              </w:r>
            </w:hyperlink>
            <w:hyperlink r:id="rId54">
              <w:r>
                <w:rPr>
                  <w:color w:val="0000FF"/>
                  <w:sz w:val="18"/>
                  <w:u w:val="single" w:color="0000FF"/>
                </w:rPr>
                <w:t>paper</w:t>
              </w:r>
            </w:hyperlink>
            <w:hyperlink r:id="rId55">
              <w:r>
                <w:rPr>
                  <w:color w:val="0000FF"/>
                  <w:sz w:val="18"/>
                  <w:u w:val="single" w:color="0000FF"/>
                </w:rPr>
                <w:t>-</w:t>
              </w:r>
            </w:hyperlink>
            <w:hyperlink r:id="rId56">
              <w:r>
                <w:rPr>
                  <w:color w:val="0000FF"/>
                  <w:sz w:val="18"/>
                  <w:u w:val="single" w:color="0000FF"/>
                </w:rPr>
                <w:t>ericsson</w:t>
              </w:r>
            </w:hyperlink>
            <w:hyperlink r:id="rId57">
              <w:r>
                <w:rPr>
                  <w:color w:val="0000FF"/>
                  <w:sz w:val="18"/>
                  <w:u w:val="single" w:color="0000FF"/>
                </w:rPr>
                <w:t>-</w:t>
              </w:r>
            </w:hyperlink>
            <w:hyperlink r:id="rId58">
              <w:r>
                <w:rPr>
                  <w:color w:val="0000FF"/>
                  <w:sz w:val="18"/>
                  <w:u w:val="single" w:color="0000FF"/>
                </w:rPr>
                <w:t>and</w:t>
              </w:r>
            </w:hyperlink>
            <w:hyperlink r:id="rId59">
              <w:r>
                <w:rPr>
                  <w:color w:val="0000FF"/>
                  <w:sz w:val="18"/>
                  <w:u w:val="single" w:color="0000FF"/>
                </w:rPr>
                <w:t>-</w:t>
              </w:r>
            </w:hyperlink>
            <w:hyperlink r:id="rId60">
              <w:r>
                <w:rPr>
                  <w:color w:val="0000FF"/>
                  <w:sz w:val="18"/>
                  <w:u w:val="single" w:color="0000FF"/>
                </w:rPr>
                <w:t>t</w:t>
              </w:r>
            </w:hyperlink>
            <w:hyperlink r:id="rId61">
              <w:r>
                <w:rPr>
                  <w:color w:val="0000FF"/>
                  <w:sz w:val="18"/>
                  <w:u w:val="single" w:color="0000FF"/>
                </w:rPr>
                <w:t>-</w:t>
              </w:r>
            </w:hyperlink>
            <w:hyperlink r:id="rId62">
              <w:r>
                <w:rPr>
                  <w:color w:val="0000FF"/>
                  <w:sz w:val="18"/>
                  <w:u w:val="single" w:color="0000FF"/>
                </w:rPr>
                <w:t>mobile/</w:t>
              </w:r>
            </w:hyperlink>
            <w:hyperlink r:id="rId63">
              <w:r>
                <w:rPr>
                  <w:sz w:val="18"/>
                </w:rPr>
                <w:t xml:space="preserve"> </w:t>
              </w:r>
            </w:hyperlink>
            <w:r>
              <w:rPr>
                <w:sz w:val="18"/>
              </w:rPr>
              <w:t xml:space="preserve"> </w:t>
            </w:r>
          </w:p>
        </w:tc>
      </w:tr>
      <w:tr w:rsidR="004B5BA8" w14:paraId="151C5F53" w14:textId="77777777">
        <w:trPr>
          <w:trHeight w:val="533"/>
        </w:trPr>
        <w:tc>
          <w:tcPr>
            <w:tcW w:w="2268" w:type="dxa"/>
            <w:tcBorders>
              <w:top w:val="nil"/>
              <w:left w:val="nil"/>
              <w:bottom w:val="nil"/>
              <w:right w:val="nil"/>
            </w:tcBorders>
          </w:tcPr>
          <w:p w14:paraId="7016ABC4" w14:textId="77777777" w:rsidR="004B5BA8" w:rsidRDefault="00222930">
            <w:pPr>
              <w:spacing w:after="0" w:line="259" w:lineRule="auto"/>
              <w:ind w:left="108" w:firstLine="0"/>
            </w:pPr>
            <w:r>
              <w:rPr>
                <w:b/>
                <w:sz w:val="18"/>
              </w:rPr>
              <w:t>[</w:t>
            </w:r>
            <w:proofErr w:type="spellStart"/>
            <w:r>
              <w:rPr>
                <w:b/>
                <w:sz w:val="18"/>
              </w:rPr>
              <w:t>IoT_Standards</w:t>
            </w:r>
            <w:proofErr w:type="spellEnd"/>
            <w:r>
              <w:rPr>
                <w:b/>
                <w:sz w:val="18"/>
              </w:rPr>
              <w:t xml:space="preserve">] </w:t>
            </w:r>
          </w:p>
        </w:tc>
        <w:tc>
          <w:tcPr>
            <w:tcW w:w="7398" w:type="dxa"/>
            <w:tcBorders>
              <w:top w:val="nil"/>
              <w:left w:val="nil"/>
              <w:bottom w:val="nil"/>
              <w:right w:val="nil"/>
            </w:tcBorders>
          </w:tcPr>
          <w:p w14:paraId="30C87424" w14:textId="77777777" w:rsidR="004B5BA8" w:rsidRDefault="00222930">
            <w:pPr>
              <w:spacing w:after="0" w:line="259" w:lineRule="auto"/>
              <w:ind w:left="0" w:firstLine="0"/>
            </w:pPr>
            <w:proofErr w:type="spellStart"/>
            <w:r>
              <w:rPr>
                <w:sz w:val="18"/>
              </w:rPr>
              <w:t>OMASpecWorks</w:t>
            </w:r>
            <w:proofErr w:type="spellEnd"/>
            <w:r>
              <w:rPr>
                <w:sz w:val="18"/>
              </w:rPr>
              <w:t xml:space="preserve"> ‘Comparing IoT Standards – What Services Do They Provide?’ </w:t>
            </w:r>
            <w:hyperlink r:id="rId64">
              <w:r>
                <w:rPr>
                  <w:color w:val="0000FF"/>
                  <w:sz w:val="18"/>
                  <w:u w:val="single" w:color="0000FF"/>
                </w:rPr>
                <w:t>https://www.omaspecworks.org/comparing</w:t>
              </w:r>
            </w:hyperlink>
            <w:hyperlink r:id="rId65">
              <w:r>
                <w:rPr>
                  <w:color w:val="0000FF"/>
                  <w:sz w:val="18"/>
                  <w:u w:val="single" w:color="0000FF"/>
                </w:rPr>
                <w:t>-</w:t>
              </w:r>
            </w:hyperlink>
            <w:hyperlink r:id="rId66">
              <w:r>
                <w:rPr>
                  <w:color w:val="0000FF"/>
                  <w:sz w:val="18"/>
                  <w:u w:val="single" w:color="0000FF"/>
                </w:rPr>
                <w:t>iot</w:t>
              </w:r>
            </w:hyperlink>
            <w:hyperlink r:id="rId67">
              <w:r>
                <w:rPr>
                  <w:color w:val="0000FF"/>
                  <w:sz w:val="18"/>
                  <w:u w:val="single" w:color="0000FF"/>
                </w:rPr>
                <w:t>-</w:t>
              </w:r>
            </w:hyperlink>
            <w:hyperlink r:id="rId68">
              <w:r>
                <w:rPr>
                  <w:color w:val="0000FF"/>
                  <w:sz w:val="18"/>
                  <w:u w:val="single" w:color="0000FF"/>
                </w:rPr>
                <w:t>standards</w:t>
              </w:r>
            </w:hyperlink>
            <w:hyperlink r:id="rId69">
              <w:r>
                <w:rPr>
                  <w:color w:val="0000FF"/>
                  <w:sz w:val="18"/>
                  <w:u w:val="single" w:color="0000FF"/>
                </w:rPr>
                <w:t>-</w:t>
              </w:r>
            </w:hyperlink>
            <w:hyperlink r:id="rId70">
              <w:r>
                <w:rPr>
                  <w:color w:val="0000FF"/>
                  <w:sz w:val="18"/>
                  <w:u w:val="single" w:color="0000FF"/>
                </w:rPr>
                <w:t>what</w:t>
              </w:r>
            </w:hyperlink>
            <w:hyperlink r:id="rId71">
              <w:r>
                <w:rPr>
                  <w:color w:val="0000FF"/>
                  <w:sz w:val="18"/>
                  <w:u w:val="single" w:color="0000FF"/>
                </w:rPr>
                <w:t>-</w:t>
              </w:r>
            </w:hyperlink>
            <w:hyperlink r:id="rId72">
              <w:r>
                <w:rPr>
                  <w:color w:val="0000FF"/>
                  <w:sz w:val="18"/>
                  <w:u w:val="single" w:color="0000FF"/>
                </w:rPr>
                <w:t>services</w:t>
              </w:r>
            </w:hyperlink>
            <w:hyperlink r:id="rId73">
              <w:r>
                <w:rPr>
                  <w:color w:val="0000FF"/>
                  <w:sz w:val="18"/>
                  <w:u w:val="single" w:color="0000FF"/>
                </w:rPr>
                <w:t>-</w:t>
              </w:r>
            </w:hyperlink>
            <w:hyperlink r:id="rId74">
              <w:r>
                <w:rPr>
                  <w:color w:val="0000FF"/>
                  <w:sz w:val="18"/>
                  <w:u w:val="single" w:color="0000FF"/>
                </w:rPr>
                <w:t>do</w:t>
              </w:r>
            </w:hyperlink>
            <w:hyperlink r:id="rId75">
              <w:r>
                <w:rPr>
                  <w:color w:val="0000FF"/>
                  <w:sz w:val="18"/>
                  <w:u w:val="single" w:color="0000FF"/>
                </w:rPr>
                <w:t>-</w:t>
              </w:r>
            </w:hyperlink>
            <w:hyperlink r:id="rId76">
              <w:r>
                <w:rPr>
                  <w:color w:val="0000FF"/>
                  <w:sz w:val="18"/>
                  <w:u w:val="single" w:color="0000FF"/>
                </w:rPr>
                <w:t>they</w:t>
              </w:r>
            </w:hyperlink>
            <w:hyperlink r:id="rId77">
              <w:r>
                <w:rPr>
                  <w:color w:val="0000FF"/>
                  <w:sz w:val="18"/>
                  <w:u w:val="single" w:color="0000FF"/>
                </w:rPr>
                <w:t>-</w:t>
              </w:r>
            </w:hyperlink>
            <w:hyperlink r:id="rId78">
              <w:r>
                <w:rPr>
                  <w:color w:val="0000FF"/>
                  <w:sz w:val="18"/>
                  <w:u w:val="single" w:color="0000FF"/>
                </w:rPr>
                <w:t>provide</w:t>
              </w:r>
            </w:hyperlink>
            <w:hyperlink r:id="rId79">
              <w:r>
                <w:rPr>
                  <w:color w:val="0000FF"/>
                  <w:sz w:val="18"/>
                  <w:u w:val="single" w:color="0000FF"/>
                </w:rPr>
                <w:t>-</w:t>
              </w:r>
            </w:hyperlink>
            <w:hyperlink r:id="rId80">
              <w:r>
                <w:rPr>
                  <w:color w:val="0000FF"/>
                  <w:sz w:val="18"/>
                  <w:u w:val="single" w:color="0000FF"/>
                </w:rPr>
                <w:t>2/</w:t>
              </w:r>
            </w:hyperlink>
            <w:hyperlink r:id="rId81">
              <w:r>
                <w:rPr>
                  <w:sz w:val="18"/>
                </w:rPr>
                <w:t xml:space="preserve"> </w:t>
              </w:r>
            </w:hyperlink>
            <w:r>
              <w:rPr>
                <w:sz w:val="18"/>
              </w:rPr>
              <w:t xml:space="preserve"> </w:t>
            </w:r>
          </w:p>
        </w:tc>
      </w:tr>
      <w:tr w:rsidR="004B5BA8" w14:paraId="5A64B888" w14:textId="77777777">
        <w:trPr>
          <w:trHeight w:val="328"/>
        </w:trPr>
        <w:tc>
          <w:tcPr>
            <w:tcW w:w="2268" w:type="dxa"/>
            <w:tcBorders>
              <w:top w:val="nil"/>
              <w:left w:val="nil"/>
              <w:bottom w:val="nil"/>
              <w:right w:val="nil"/>
            </w:tcBorders>
          </w:tcPr>
          <w:p w14:paraId="7C81A93F" w14:textId="77777777" w:rsidR="004B5BA8" w:rsidRDefault="00222930">
            <w:pPr>
              <w:spacing w:after="0" w:line="259" w:lineRule="auto"/>
              <w:ind w:left="108" w:firstLine="0"/>
            </w:pPr>
            <w:r>
              <w:rPr>
                <w:b/>
                <w:sz w:val="18"/>
              </w:rPr>
              <w:t xml:space="preserve">[LTE-M] </w:t>
            </w:r>
          </w:p>
        </w:tc>
        <w:tc>
          <w:tcPr>
            <w:tcW w:w="7398" w:type="dxa"/>
            <w:tcBorders>
              <w:top w:val="nil"/>
              <w:left w:val="nil"/>
              <w:bottom w:val="nil"/>
              <w:right w:val="nil"/>
            </w:tcBorders>
          </w:tcPr>
          <w:p w14:paraId="1546DBA3" w14:textId="77777777" w:rsidR="004B5BA8" w:rsidRDefault="00222930">
            <w:pPr>
              <w:spacing w:after="0" w:line="259" w:lineRule="auto"/>
              <w:ind w:left="0" w:firstLine="0"/>
            </w:pPr>
            <w:r>
              <w:rPr>
                <w:sz w:val="18"/>
              </w:rPr>
              <w:t xml:space="preserve">Long Term Evolution for Machines </w:t>
            </w:r>
          </w:p>
        </w:tc>
      </w:tr>
      <w:tr w:rsidR="004B5BA8" w14:paraId="63FB3ABE" w14:textId="77777777">
        <w:trPr>
          <w:trHeight w:val="626"/>
        </w:trPr>
        <w:tc>
          <w:tcPr>
            <w:tcW w:w="2268" w:type="dxa"/>
            <w:tcBorders>
              <w:top w:val="nil"/>
              <w:left w:val="nil"/>
              <w:bottom w:val="nil"/>
              <w:right w:val="nil"/>
            </w:tcBorders>
          </w:tcPr>
          <w:p w14:paraId="65081BB6" w14:textId="77777777" w:rsidR="004B5BA8" w:rsidRDefault="00222930">
            <w:pPr>
              <w:spacing w:after="102" w:line="259" w:lineRule="auto"/>
              <w:ind w:left="108" w:firstLine="0"/>
            </w:pPr>
            <w:r>
              <w:rPr>
                <w:b/>
                <w:sz w:val="18"/>
              </w:rPr>
              <w:t>[</w:t>
            </w:r>
            <w:proofErr w:type="spellStart"/>
            <w:r>
              <w:rPr>
                <w:b/>
                <w:sz w:val="18"/>
              </w:rPr>
              <w:t>NBIoT</w:t>
            </w:r>
            <w:proofErr w:type="spellEnd"/>
            <w:r>
              <w:rPr>
                <w:b/>
                <w:sz w:val="18"/>
              </w:rPr>
              <w:t xml:space="preserve">] </w:t>
            </w:r>
          </w:p>
          <w:p w14:paraId="031BFAF3" w14:textId="77777777" w:rsidR="004B5BA8" w:rsidRDefault="00222930">
            <w:pPr>
              <w:spacing w:after="0" w:line="259" w:lineRule="auto"/>
              <w:ind w:left="108" w:firstLine="0"/>
            </w:pPr>
            <w:r>
              <w:rPr>
                <w:b/>
                <w:sz w:val="18"/>
              </w:rPr>
              <w:t xml:space="preserve"> </w:t>
            </w:r>
          </w:p>
        </w:tc>
        <w:tc>
          <w:tcPr>
            <w:tcW w:w="7398" w:type="dxa"/>
            <w:tcBorders>
              <w:top w:val="nil"/>
              <w:left w:val="nil"/>
              <w:bottom w:val="nil"/>
              <w:right w:val="nil"/>
            </w:tcBorders>
          </w:tcPr>
          <w:p w14:paraId="6376E9FB" w14:textId="77777777" w:rsidR="004B5BA8" w:rsidRDefault="00222930">
            <w:pPr>
              <w:spacing w:after="0" w:line="259" w:lineRule="auto"/>
              <w:ind w:left="0" w:firstLine="0"/>
            </w:pPr>
            <w:proofErr w:type="spellStart"/>
            <w:r>
              <w:rPr>
                <w:sz w:val="18"/>
              </w:rPr>
              <w:t>NarrowBand</w:t>
            </w:r>
            <w:proofErr w:type="spellEnd"/>
            <w:r>
              <w:rPr>
                <w:sz w:val="18"/>
              </w:rPr>
              <w:t xml:space="preserve">-Internet of Things </w:t>
            </w:r>
          </w:p>
        </w:tc>
      </w:tr>
      <w:tr w:rsidR="004B5BA8" w14:paraId="5F94E749" w14:textId="77777777">
        <w:trPr>
          <w:trHeight w:val="255"/>
        </w:trPr>
        <w:tc>
          <w:tcPr>
            <w:tcW w:w="2268" w:type="dxa"/>
            <w:tcBorders>
              <w:top w:val="nil"/>
              <w:left w:val="nil"/>
              <w:bottom w:val="nil"/>
              <w:right w:val="nil"/>
            </w:tcBorders>
          </w:tcPr>
          <w:p w14:paraId="380985D5" w14:textId="77777777" w:rsidR="004B5BA8" w:rsidRDefault="00222930">
            <w:pPr>
              <w:spacing w:after="0" w:line="259" w:lineRule="auto"/>
              <w:ind w:left="0" w:firstLine="0"/>
            </w:pPr>
            <w:r>
              <w:t xml:space="preserve"> </w:t>
            </w:r>
          </w:p>
        </w:tc>
        <w:tc>
          <w:tcPr>
            <w:tcW w:w="7398" w:type="dxa"/>
            <w:tcBorders>
              <w:top w:val="nil"/>
              <w:left w:val="nil"/>
              <w:bottom w:val="nil"/>
              <w:right w:val="nil"/>
            </w:tcBorders>
          </w:tcPr>
          <w:p w14:paraId="60600B0D" w14:textId="77777777" w:rsidR="004B5BA8" w:rsidRDefault="00222930">
            <w:pPr>
              <w:spacing w:after="0" w:line="259" w:lineRule="auto"/>
              <w:ind w:left="613" w:firstLine="0"/>
            </w:pPr>
            <w:r>
              <w:t xml:space="preserve"> </w:t>
            </w:r>
          </w:p>
        </w:tc>
      </w:tr>
    </w:tbl>
    <w:p w14:paraId="6E79B522" w14:textId="77777777" w:rsidR="004B5BA8" w:rsidRDefault="00222930">
      <w:r>
        <w:br w:type="page"/>
      </w:r>
    </w:p>
    <w:p w14:paraId="4E26BC7B" w14:textId="77777777" w:rsidR="004B5BA8" w:rsidRDefault="00222930">
      <w:pPr>
        <w:ind w:left="-5" w:right="39"/>
      </w:pPr>
      <w:r>
        <w:lastRenderedPageBreak/>
        <w:t xml:space="preserve">Use of this document is subject to </w:t>
      </w:r>
      <w:proofErr w:type="gramStart"/>
      <w:r>
        <w:t>all of</w:t>
      </w:r>
      <w:proofErr w:type="gramEnd"/>
      <w:r>
        <w:t xml:space="preserve"> the terms and conditions of the Use Agreement located at https://www.omaspecworks.org/about/policies-and-terms-of-use/. </w:t>
      </w:r>
    </w:p>
    <w:p w14:paraId="3F19A083" w14:textId="77777777" w:rsidR="004B5BA8" w:rsidRDefault="00222930">
      <w:pPr>
        <w:ind w:left="-5" w:right="39"/>
      </w:pPr>
      <w:r>
        <w:t xml:space="preserve">Unless this document is clearly designated as an approved specification, this document is a work in process, is not an approved Open Mobile Alliance™ specification, and is subject to revision or removal without notice. </w:t>
      </w:r>
    </w:p>
    <w:p w14:paraId="552F95A9" w14:textId="77777777" w:rsidR="004B5BA8" w:rsidRDefault="00222930">
      <w:pPr>
        <w:ind w:left="-5" w:right="39"/>
      </w:pPr>
      <w:r>
        <w:t xml:space="preserve">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w:t>
      </w:r>
      <w:proofErr w:type="gramStart"/>
      <w:r>
        <w:t>provided that</w:t>
      </w:r>
      <w:proofErr w:type="gramEnd"/>
      <w:r>
        <w:t xml:space="preserve">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 </w:t>
      </w:r>
    </w:p>
    <w:p w14:paraId="1D8D4698" w14:textId="77777777" w:rsidR="004B5BA8" w:rsidRDefault="00222930">
      <w:pPr>
        <w:ind w:left="-5" w:right="39"/>
      </w:pPr>
      <w:r>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http://www.omaspecworks.org/about/intellectual-property-rights/. The Open Mobile Alliance has not conducted an independent IPR review of this document and the information contained </w:t>
      </w:r>
      <w:proofErr w:type="gramStart"/>
      <w:r>
        <w:t>herein, and</w:t>
      </w:r>
      <w:proofErr w:type="gramEnd"/>
      <w:r>
        <w:t xml:space="preserve">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 </w:t>
      </w:r>
    </w:p>
    <w:p w14:paraId="4FD9F2A9" w14:textId="77777777" w:rsidR="004B5BA8" w:rsidRDefault="00222930">
      <w:pPr>
        <w:spacing w:after="8"/>
        <w:ind w:left="-5" w:right="39"/>
      </w:pPr>
      <w:r>
        <w:t xml:space="preserve">NO REPRESENTATIONS OR WARRANTIES (WHETHER EXPRESS OR IMPLIED) ARE MADE BY THE OPEN </w:t>
      </w:r>
    </w:p>
    <w:p w14:paraId="773F1522" w14:textId="77777777" w:rsidR="004B5BA8" w:rsidRDefault="00222930">
      <w:pPr>
        <w:ind w:left="-5" w:right="39"/>
      </w:pPr>
      <w:r>
        <w:t xml:space="preserve">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 </w:t>
      </w:r>
    </w:p>
    <w:p w14:paraId="4A1AAE17" w14:textId="77777777" w:rsidR="004B5BA8" w:rsidRDefault="00222930">
      <w:pPr>
        <w:ind w:left="-5" w:right="39"/>
      </w:pPr>
      <w:r>
        <w:t xml:space="preserve">THE OPEN MOBILE ALLIANCE IS NOT LIABLE FOR AND HEREBY DISCLAIMS ANY DIRECT, INDIRECT, PUNITIVE, SPECIAL, INCIDENTAL, CONSEQUENTIAL, OR EXEMPLARY DAMAGES ARISING OUT OF OR IN CONNECTION WITH THE USE OF DOCUMENTS AND THE INFORMATION CONTAINED IN THE DOCUMENTS. </w:t>
      </w:r>
    </w:p>
    <w:p w14:paraId="7C958231" w14:textId="77777777" w:rsidR="004B5BA8" w:rsidRDefault="00222930">
      <w:pPr>
        <w:ind w:left="-5" w:right="39"/>
      </w:pPr>
      <w:r>
        <w:t xml:space="preserve">THIS DOCUMENT IS PROVIDED ON AN "AS IS" "AS AVAILABLE" AND "WITH ALL FAULTS" BASIS. </w:t>
      </w:r>
    </w:p>
    <w:p w14:paraId="0EB089D7" w14:textId="77777777" w:rsidR="004B5BA8" w:rsidRDefault="00222930">
      <w:pPr>
        <w:spacing w:after="8"/>
        <w:ind w:left="-5" w:right="39"/>
      </w:pPr>
      <w:r>
        <w:t xml:space="preserve">© 2019 Open Mobile Alliance. </w:t>
      </w:r>
    </w:p>
    <w:p w14:paraId="25A4B049" w14:textId="109EF271" w:rsidR="004B5BA8" w:rsidRDefault="00222930">
      <w:pPr>
        <w:ind w:left="-5" w:right="39"/>
      </w:pPr>
      <w:r>
        <w:t xml:space="preserve">Used with the permission of the Open Mobile Alliance under the terms set forth above. </w:t>
      </w:r>
    </w:p>
    <w:p w14:paraId="3CC78E7A" w14:textId="4EB1A55A" w:rsidR="006B635F" w:rsidRDefault="006B635F">
      <w:pPr>
        <w:ind w:left="-5" w:right="39"/>
      </w:pPr>
    </w:p>
    <w:p w14:paraId="10214F08" w14:textId="68E19782" w:rsidR="006B635F" w:rsidRDefault="006B635F">
      <w:pPr>
        <w:ind w:left="-5" w:right="39"/>
      </w:pPr>
    </w:p>
    <w:p w14:paraId="317E3982" w14:textId="5270FD8D" w:rsidR="006B635F" w:rsidRDefault="006B635F">
      <w:pPr>
        <w:ind w:left="-5" w:right="39"/>
      </w:pPr>
    </w:p>
    <w:p w14:paraId="53BBF572" w14:textId="6CC3ED7A" w:rsidR="006B635F" w:rsidRDefault="006B635F">
      <w:pPr>
        <w:ind w:left="-5" w:right="39"/>
      </w:pPr>
    </w:p>
    <w:p w14:paraId="337A6412" w14:textId="795DDF07" w:rsidR="006B635F" w:rsidRDefault="006B635F">
      <w:pPr>
        <w:ind w:left="-5" w:right="39"/>
      </w:pPr>
    </w:p>
    <w:p w14:paraId="2141FD3D" w14:textId="7B9CE400" w:rsidR="006B635F" w:rsidRDefault="006B635F">
      <w:pPr>
        <w:ind w:left="-5" w:right="39"/>
      </w:pPr>
    </w:p>
    <w:p w14:paraId="4CE3C1D8" w14:textId="58906065" w:rsidR="006B635F" w:rsidRDefault="006B635F">
      <w:pPr>
        <w:ind w:left="-5" w:right="39"/>
      </w:pPr>
    </w:p>
    <w:p w14:paraId="35CEF63B" w14:textId="5FC912B8" w:rsidR="006B635F" w:rsidRDefault="006B635F">
      <w:pPr>
        <w:ind w:left="-5" w:right="39"/>
      </w:pPr>
    </w:p>
    <w:p w14:paraId="3FDFFC27" w14:textId="0ED93FCF" w:rsidR="006B635F" w:rsidRDefault="006B635F">
      <w:pPr>
        <w:ind w:left="-5" w:right="39"/>
      </w:pPr>
    </w:p>
    <w:p w14:paraId="3F71A14C" w14:textId="0545A3D3" w:rsidR="006B635F" w:rsidRDefault="006B635F">
      <w:pPr>
        <w:ind w:left="-5" w:right="39"/>
      </w:pPr>
    </w:p>
    <w:p w14:paraId="5BAA8681" w14:textId="37F6ED30" w:rsidR="006B635F" w:rsidRDefault="006B635F">
      <w:pPr>
        <w:ind w:left="-5" w:right="39"/>
      </w:pPr>
    </w:p>
    <w:p w14:paraId="16F61A9D" w14:textId="7A67BA25" w:rsidR="006B635F" w:rsidRDefault="006B635F">
      <w:pPr>
        <w:ind w:left="-5" w:right="39"/>
      </w:pPr>
    </w:p>
    <w:p w14:paraId="785D17B9" w14:textId="77777777" w:rsidR="006B635F" w:rsidRDefault="006B635F">
      <w:pPr>
        <w:ind w:left="-5" w:right="39"/>
      </w:pPr>
    </w:p>
    <w:p w14:paraId="3A0B9652" w14:textId="77777777" w:rsidR="004B5BA8" w:rsidRDefault="00222930">
      <w:pPr>
        <w:spacing w:after="0" w:line="259" w:lineRule="auto"/>
        <w:ind w:left="0" w:firstLine="0"/>
      </w:pPr>
      <w:r>
        <w:t xml:space="preserve"> </w:t>
      </w:r>
      <w:r>
        <w:tab/>
        <w:t xml:space="preserve"> </w:t>
      </w:r>
    </w:p>
    <w:p w14:paraId="69928B4C" w14:textId="77777777" w:rsidR="004B5BA8" w:rsidRDefault="00222930">
      <w:pPr>
        <w:pStyle w:val="Heading1"/>
        <w:numPr>
          <w:ilvl w:val="0"/>
          <w:numId w:val="0"/>
        </w:numPr>
        <w:tabs>
          <w:tab w:val="center" w:pos="3890"/>
          <w:tab w:val="right" w:pos="10110"/>
        </w:tabs>
      </w:pPr>
      <w:bookmarkStart w:id="8" w:name="_Toc10080"/>
      <w:r>
        <w:lastRenderedPageBreak/>
        <w:t xml:space="preserve">Appendix A. </w:t>
      </w:r>
      <w:r>
        <w:tab/>
        <w:t xml:space="preserve">Draft / Candidate History </w:t>
      </w:r>
      <w:r>
        <w:tab/>
        <w:t xml:space="preserve">(Informative) </w:t>
      </w:r>
      <w:bookmarkEnd w:id="8"/>
    </w:p>
    <w:tbl>
      <w:tblPr>
        <w:tblStyle w:val="TableGrid"/>
        <w:tblW w:w="10090" w:type="dxa"/>
        <w:tblInd w:w="-4" w:type="dxa"/>
        <w:tblCellMar>
          <w:top w:w="33" w:type="dxa"/>
          <w:left w:w="107" w:type="dxa"/>
          <w:right w:w="104" w:type="dxa"/>
        </w:tblCellMar>
        <w:tblLook w:val="04A0" w:firstRow="1" w:lastRow="0" w:firstColumn="1" w:lastColumn="0" w:noHBand="0" w:noVBand="1"/>
      </w:tblPr>
      <w:tblGrid>
        <w:gridCol w:w="2976"/>
        <w:gridCol w:w="1169"/>
        <w:gridCol w:w="1080"/>
        <w:gridCol w:w="4865"/>
      </w:tblGrid>
      <w:tr w:rsidR="004B5BA8" w14:paraId="3E31F0F0" w14:textId="77777777">
        <w:trPr>
          <w:trHeight w:val="254"/>
        </w:trPr>
        <w:tc>
          <w:tcPr>
            <w:tcW w:w="2976" w:type="dxa"/>
            <w:tcBorders>
              <w:top w:val="single" w:sz="4" w:space="0" w:color="000000"/>
              <w:left w:val="single" w:sz="4" w:space="0" w:color="000000"/>
              <w:bottom w:val="single" w:sz="4" w:space="0" w:color="000000"/>
              <w:right w:val="single" w:sz="4" w:space="0" w:color="000000"/>
            </w:tcBorders>
            <w:shd w:val="clear" w:color="auto" w:fill="BFBFBF"/>
          </w:tcPr>
          <w:p w14:paraId="35F6D5B3" w14:textId="77777777" w:rsidR="004B5BA8" w:rsidRDefault="00222930">
            <w:pPr>
              <w:spacing w:after="0" w:line="259" w:lineRule="auto"/>
              <w:ind w:left="0" w:right="4" w:firstLine="0"/>
              <w:jc w:val="center"/>
            </w:pPr>
            <w:r>
              <w:rPr>
                <w:b/>
                <w:sz w:val="18"/>
              </w:rPr>
              <w:t xml:space="preserve">Document Identifier </w:t>
            </w:r>
          </w:p>
        </w:tc>
        <w:tc>
          <w:tcPr>
            <w:tcW w:w="1169" w:type="dxa"/>
            <w:tcBorders>
              <w:top w:val="single" w:sz="4" w:space="0" w:color="000000"/>
              <w:left w:val="single" w:sz="4" w:space="0" w:color="000000"/>
              <w:bottom w:val="single" w:sz="4" w:space="0" w:color="000000"/>
              <w:right w:val="single" w:sz="4" w:space="0" w:color="000000"/>
            </w:tcBorders>
            <w:shd w:val="clear" w:color="auto" w:fill="BFBFBF"/>
          </w:tcPr>
          <w:p w14:paraId="59710DDD" w14:textId="77777777" w:rsidR="004B5BA8" w:rsidRDefault="00222930">
            <w:pPr>
              <w:spacing w:after="0" w:line="259" w:lineRule="auto"/>
              <w:ind w:left="0" w:right="5" w:firstLine="0"/>
              <w:jc w:val="center"/>
            </w:pPr>
            <w:r>
              <w:rPr>
                <w:b/>
                <w:sz w:val="18"/>
              </w:rPr>
              <w:t xml:space="preserve">Date </w:t>
            </w:r>
          </w:p>
        </w:tc>
        <w:tc>
          <w:tcPr>
            <w:tcW w:w="1080" w:type="dxa"/>
            <w:tcBorders>
              <w:top w:val="single" w:sz="4" w:space="0" w:color="000000"/>
              <w:left w:val="single" w:sz="4" w:space="0" w:color="000000"/>
              <w:bottom w:val="single" w:sz="4" w:space="0" w:color="000000"/>
              <w:right w:val="single" w:sz="4" w:space="0" w:color="000000"/>
            </w:tcBorders>
            <w:shd w:val="clear" w:color="auto" w:fill="BFBFBF"/>
          </w:tcPr>
          <w:p w14:paraId="612DCF52" w14:textId="77777777" w:rsidR="004B5BA8" w:rsidRDefault="00222930">
            <w:pPr>
              <w:spacing w:after="0" w:line="259" w:lineRule="auto"/>
              <w:ind w:left="0" w:right="6" w:firstLine="0"/>
              <w:jc w:val="center"/>
            </w:pPr>
            <w:r>
              <w:rPr>
                <w:b/>
                <w:sz w:val="18"/>
              </w:rPr>
              <w:t xml:space="preserve">Sections </w:t>
            </w:r>
          </w:p>
        </w:tc>
        <w:tc>
          <w:tcPr>
            <w:tcW w:w="4865" w:type="dxa"/>
            <w:tcBorders>
              <w:top w:val="single" w:sz="4" w:space="0" w:color="000000"/>
              <w:left w:val="single" w:sz="4" w:space="0" w:color="000000"/>
              <w:bottom w:val="single" w:sz="4" w:space="0" w:color="000000"/>
              <w:right w:val="single" w:sz="4" w:space="0" w:color="000000"/>
            </w:tcBorders>
            <w:shd w:val="clear" w:color="auto" w:fill="BFBFBF"/>
          </w:tcPr>
          <w:p w14:paraId="3577562E" w14:textId="77777777" w:rsidR="004B5BA8" w:rsidRDefault="00222930">
            <w:pPr>
              <w:spacing w:after="0" w:line="259" w:lineRule="auto"/>
              <w:ind w:left="0" w:right="3" w:firstLine="0"/>
              <w:jc w:val="center"/>
            </w:pPr>
            <w:r>
              <w:rPr>
                <w:b/>
                <w:sz w:val="18"/>
              </w:rPr>
              <w:t xml:space="preserve">Description </w:t>
            </w:r>
          </w:p>
        </w:tc>
      </w:tr>
      <w:tr w:rsidR="004B5BA8" w14:paraId="4608ACE9" w14:textId="77777777">
        <w:trPr>
          <w:trHeight w:val="421"/>
        </w:trPr>
        <w:tc>
          <w:tcPr>
            <w:tcW w:w="2976" w:type="dxa"/>
            <w:tcBorders>
              <w:top w:val="single" w:sz="4" w:space="0" w:color="000000"/>
              <w:left w:val="single" w:sz="4" w:space="0" w:color="000000"/>
              <w:bottom w:val="single" w:sz="4" w:space="0" w:color="000000"/>
              <w:right w:val="single" w:sz="4" w:space="0" w:color="000000"/>
            </w:tcBorders>
          </w:tcPr>
          <w:p w14:paraId="1CF4F2F1" w14:textId="77777777" w:rsidR="004B5BA8" w:rsidRDefault="00222930">
            <w:pPr>
              <w:spacing w:after="0" w:line="259" w:lineRule="auto"/>
              <w:ind w:left="0" w:firstLine="0"/>
            </w:pPr>
            <w:r>
              <w:rPr>
                <w:sz w:val="16"/>
              </w:rPr>
              <w:t xml:space="preserve">OMA-State-of-the-LwM2M-Standard </w:t>
            </w:r>
          </w:p>
        </w:tc>
        <w:tc>
          <w:tcPr>
            <w:tcW w:w="1169" w:type="dxa"/>
            <w:tcBorders>
              <w:top w:val="single" w:sz="4" w:space="0" w:color="000000"/>
              <w:left w:val="single" w:sz="4" w:space="0" w:color="000000"/>
              <w:bottom w:val="single" w:sz="4" w:space="0" w:color="000000"/>
              <w:right w:val="single" w:sz="4" w:space="0" w:color="000000"/>
            </w:tcBorders>
          </w:tcPr>
          <w:p w14:paraId="7C18D386" w14:textId="77777777" w:rsidR="004B5BA8" w:rsidRDefault="00222930">
            <w:pPr>
              <w:spacing w:after="0" w:line="259" w:lineRule="auto"/>
              <w:ind w:left="1" w:firstLine="0"/>
            </w:pPr>
            <w:r>
              <w:rPr>
                <w:sz w:val="16"/>
              </w:rPr>
              <w:t xml:space="preserve">  12 Nov 2019 </w:t>
            </w:r>
          </w:p>
        </w:tc>
        <w:tc>
          <w:tcPr>
            <w:tcW w:w="1080" w:type="dxa"/>
            <w:tcBorders>
              <w:top w:val="single" w:sz="4" w:space="0" w:color="000000"/>
              <w:left w:val="single" w:sz="4" w:space="0" w:color="000000"/>
              <w:bottom w:val="single" w:sz="4" w:space="0" w:color="000000"/>
              <w:right w:val="single" w:sz="4" w:space="0" w:color="000000"/>
            </w:tcBorders>
          </w:tcPr>
          <w:p w14:paraId="5F77C2EC" w14:textId="77777777" w:rsidR="004B5BA8" w:rsidRDefault="00222930">
            <w:pPr>
              <w:spacing w:after="0" w:line="259" w:lineRule="auto"/>
              <w:ind w:left="1" w:firstLine="0"/>
            </w:pPr>
            <w:r>
              <w:rPr>
                <w:sz w:val="16"/>
              </w:rPr>
              <w:t xml:space="preserve">all </w:t>
            </w:r>
          </w:p>
        </w:tc>
        <w:tc>
          <w:tcPr>
            <w:tcW w:w="4865" w:type="dxa"/>
            <w:tcBorders>
              <w:top w:val="single" w:sz="4" w:space="0" w:color="000000"/>
              <w:left w:val="single" w:sz="4" w:space="0" w:color="000000"/>
              <w:bottom w:val="single" w:sz="4" w:space="0" w:color="000000"/>
              <w:right w:val="single" w:sz="4" w:space="0" w:color="000000"/>
            </w:tcBorders>
          </w:tcPr>
          <w:p w14:paraId="107DD2B2" w14:textId="34F9CF1D" w:rsidR="004B5BA8" w:rsidRDefault="00222930">
            <w:pPr>
              <w:spacing w:after="0" w:line="259" w:lineRule="auto"/>
              <w:ind w:left="1" w:firstLine="0"/>
            </w:pPr>
            <w:r>
              <w:rPr>
                <w:sz w:val="16"/>
              </w:rPr>
              <w:t>Initial version of the:</w:t>
            </w:r>
            <w:r>
              <w:t xml:space="preserve"> </w:t>
            </w:r>
            <w:r w:rsidR="00ED25A2" w:rsidRPr="00ED25A2">
              <w:rPr>
                <w:sz w:val="16"/>
              </w:rPr>
              <w:t>OMA-DM-LightweightM2M-2019-0033R04-INP_Position_paper_LwM2M_and_5G</w:t>
            </w:r>
          </w:p>
        </w:tc>
      </w:tr>
    </w:tbl>
    <w:p w14:paraId="55DE53F7" w14:textId="77777777" w:rsidR="004B5BA8" w:rsidRDefault="00222930">
      <w:pPr>
        <w:spacing w:after="0" w:line="259" w:lineRule="auto"/>
        <w:ind w:left="0" w:firstLine="0"/>
      </w:pPr>
      <w:r>
        <w:t xml:space="preserve"> </w:t>
      </w:r>
    </w:p>
    <w:sectPr w:rsidR="004B5BA8" w:rsidSect="006B635F">
      <w:headerReference w:type="even" r:id="rId82"/>
      <w:headerReference w:type="default" r:id="rId83"/>
      <w:footerReference w:type="even" r:id="rId84"/>
      <w:footerReference w:type="default" r:id="rId85"/>
      <w:headerReference w:type="first" r:id="rId86"/>
      <w:footerReference w:type="first" r:id="rId87"/>
      <w:pgSz w:w="12240" w:h="15840"/>
      <w:pgMar w:top="1440" w:right="1050" w:bottom="851" w:left="1080" w:header="720" w:footer="32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E84519" w14:textId="77777777" w:rsidR="000D7EB2" w:rsidRDefault="000D7EB2">
      <w:pPr>
        <w:spacing w:after="0" w:line="240" w:lineRule="auto"/>
      </w:pPr>
      <w:r>
        <w:separator/>
      </w:r>
    </w:p>
  </w:endnote>
  <w:endnote w:type="continuationSeparator" w:id="0">
    <w:p w14:paraId="74B7E42E" w14:textId="77777777" w:rsidR="000D7EB2" w:rsidRDefault="000D7E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E9DF10" w14:textId="77777777" w:rsidR="004B5BA8" w:rsidRDefault="00222930">
    <w:pPr>
      <w:spacing w:after="0" w:line="259" w:lineRule="auto"/>
      <w:ind w:left="0" w:firstLine="0"/>
    </w:pPr>
    <w:r>
      <w:rPr>
        <w:rFonts w:ascii="Calibri" w:eastAsia="Calibri" w:hAnsi="Calibri" w:cs="Calibri"/>
        <w:noProof/>
        <w:sz w:val="22"/>
      </w:rPr>
      <mc:AlternateContent>
        <mc:Choice Requires="wpg">
          <w:drawing>
            <wp:anchor distT="0" distB="0" distL="114300" distR="114300" simplePos="0" relativeHeight="251658240" behindDoc="0" locked="0" layoutInCell="1" allowOverlap="1" wp14:anchorId="3B3DAC10" wp14:editId="47FEB50F">
              <wp:simplePos x="0" y="0"/>
              <wp:positionH relativeFrom="page">
                <wp:posOffset>667512</wp:posOffset>
              </wp:positionH>
              <wp:positionV relativeFrom="page">
                <wp:posOffset>9405824</wp:posOffset>
              </wp:positionV>
              <wp:extent cx="6438900" cy="6096"/>
              <wp:effectExtent l="0" t="0" r="0" b="0"/>
              <wp:wrapSquare wrapText="bothSides"/>
              <wp:docPr id="9701" name="Group 9701"/>
              <wp:cNvGraphicFramePr/>
              <a:graphic xmlns:a="http://schemas.openxmlformats.org/drawingml/2006/main">
                <a:graphicData uri="http://schemas.microsoft.com/office/word/2010/wordprocessingGroup">
                  <wpg:wgp>
                    <wpg:cNvGrpSpPr/>
                    <wpg:grpSpPr>
                      <a:xfrm>
                        <a:off x="0" y="0"/>
                        <a:ext cx="6438900" cy="6096"/>
                        <a:chOff x="0" y="0"/>
                        <a:chExt cx="6438900" cy="6096"/>
                      </a:xfrm>
                    </wpg:grpSpPr>
                    <wps:wsp>
                      <wps:cNvPr id="10379" name="Shape 10379"/>
                      <wps:cNvSpPr/>
                      <wps:spPr>
                        <a:xfrm>
                          <a:off x="0" y="0"/>
                          <a:ext cx="6438900" cy="9144"/>
                        </a:xfrm>
                        <a:custGeom>
                          <a:avLst/>
                          <a:gdLst/>
                          <a:ahLst/>
                          <a:cxnLst/>
                          <a:rect l="0" t="0" r="0" b="0"/>
                          <a:pathLst>
                            <a:path w="6438900" h="9144">
                              <a:moveTo>
                                <a:pt x="0" y="0"/>
                              </a:moveTo>
                              <a:lnTo>
                                <a:pt x="6438900" y="0"/>
                              </a:lnTo>
                              <a:lnTo>
                                <a:pt x="643890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9701" style="width:507pt;height:0.47998pt;position:absolute;mso-position-horizontal-relative:page;mso-position-horizontal:absolute;margin-left:52.56pt;mso-position-vertical-relative:page;margin-top:740.616pt;" coordsize="64389,60">
              <v:shape id="Shape 10380" style="position:absolute;width:64389;height:91;left:0;top:0;" coordsize="6438900,9144" path="m0,0l6438900,0l6438900,9144l0,9144l0,0">
                <v:stroke weight="0pt" endcap="flat" joinstyle="miter" miterlimit="10" on="false" color="#000000" opacity="0"/>
                <v:fill on="true" color="#000000"/>
              </v:shape>
              <w10:wrap type="square"/>
            </v:group>
          </w:pict>
        </mc:Fallback>
      </mc:AlternateContent>
    </w:r>
    <w:r>
      <w:rPr>
        <w:rFonts w:ascii="Segoe UI Symbol" w:eastAsia="Segoe UI Symbol" w:hAnsi="Segoe UI Symbol" w:cs="Segoe UI Symbol"/>
        <w:sz w:val="18"/>
      </w:rPr>
      <w:t>©</w:t>
    </w:r>
    <w:r>
      <w:rPr>
        <w:rFonts w:ascii="Arial" w:eastAsia="Arial" w:hAnsi="Arial" w:cs="Arial"/>
        <w:b/>
        <w:sz w:val="18"/>
      </w:rPr>
      <w:t xml:space="preserve"> 2019 Open Mobile Alliance.</w:t>
    </w:r>
    <w:r>
      <w:rPr>
        <w:rFonts w:ascii="Arial" w:eastAsia="Arial" w:hAnsi="Arial" w:cs="Arial"/>
        <w:b/>
        <w:sz w:val="16"/>
      </w:rPr>
      <w:t xml:space="preserve"> </w:t>
    </w:r>
  </w:p>
  <w:p w14:paraId="201F3517" w14:textId="77777777" w:rsidR="004B5BA8" w:rsidRDefault="00222930">
    <w:pPr>
      <w:tabs>
        <w:tab w:val="right" w:pos="10110"/>
      </w:tabs>
      <w:spacing w:after="0" w:line="259" w:lineRule="auto"/>
      <w:ind w:left="0" w:firstLine="0"/>
    </w:pPr>
    <w:r>
      <w:rPr>
        <w:rFonts w:ascii="Arial" w:eastAsia="Arial" w:hAnsi="Arial" w:cs="Arial"/>
        <w:b/>
        <w:sz w:val="18"/>
      </w:rPr>
      <w:t>Used with the permission of the Open Mobile Alliance under the terms as stated in this document.</w:t>
    </w:r>
    <w:r>
      <w:rPr>
        <w:rFonts w:ascii="Arial" w:eastAsia="Arial" w:hAnsi="Arial" w:cs="Arial"/>
        <w:b/>
        <w:color w:val="999999"/>
        <w:sz w:val="10"/>
      </w:rPr>
      <w:t xml:space="preserve"> </w:t>
    </w:r>
    <w:r>
      <w:rPr>
        <w:rFonts w:ascii="Arial" w:eastAsia="Arial" w:hAnsi="Arial" w:cs="Arial"/>
        <w:b/>
        <w:color w:val="999999"/>
        <w:sz w:val="10"/>
      </w:rPr>
      <w:tab/>
    </w:r>
    <w:r>
      <w:rPr>
        <w:rFonts w:ascii="Arial" w:eastAsia="Arial" w:hAnsi="Arial" w:cs="Arial"/>
        <w:b/>
        <w:color w:val="969696"/>
        <w:sz w:val="10"/>
      </w:rPr>
      <w:t>[OMA-Template-WhitePaper-20191012-I]</w:t>
    </w:r>
    <w:r>
      <w:rPr>
        <w:rFonts w:ascii="Arial" w:eastAsia="Arial" w:hAnsi="Arial" w:cs="Arial"/>
        <w:b/>
        <w:sz w:val="10"/>
        <w:vertAlign w:val="subscript"/>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54EC9" w14:textId="4734547A" w:rsidR="004B5BA8" w:rsidRPr="006B635F" w:rsidRDefault="00222930">
    <w:pPr>
      <w:spacing w:after="0" w:line="259" w:lineRule="auto"/>
      <w:ind w:left="0" w:firstLine="0"/>
      <w:rPr>
        <w:sz w:val="16"/>
        <w:szCs w:val="16"/>
      </w:rPr>
    </w:pPr>
    <w:r w:rsidRPr="006B635F">
      <w:rPr>
        <w:rFonts w:ascii="Calibri" w:eastAsia="Calibri" w:hAnsi="Calibri" w:cs="Calibri"/>
        <w:noProof/>
        <w:sz w:val="16"/>
        <w:szCs w:val="16"/>
      </w:rPr>
      <mc:AlternateContent>
        <mc:Choice Requires="wpg">
          <w:drawing>
            <wp:anchor distT="0" distB="0" distL="114300" distR="114300" simplePos="0" relativeHeight="251659264" behindDoc="0" locked="0" layoutInCell="1" allowOverlap="1" wp14:anchorId="1174D2B9" wp14:editId="49C4C79E">
              <wp:simplePos x="0" y="0"/>
              <wp:positionH relativeFrom="page">
                <wp:posOffset>667512</wp:posOffset>
              </wp:positionH>
              <wp:positionV relativeFrom="page">
                <wp:posOffset>9405824</wp:posOffset>
              </wp:positionV>
              <wp:extent cx="6438900" cy="6096"/>
              <wp:effectExtent l="0" t="0" r="0" b="0"/>
              <wp:wrapSquare wrapText="bothSides"/>
              <wp:docPr id="9641" name="Group 9641"/>
              <wp:cNvGraphicFramePr/>
              <a:graphic xmlns:a="http://schemas.openxmlformats.org/drawingml/2006/main">
                <a:graphicData uri="http://schemas.microsoft.com/office/word/2010/wordprocessingGroup">
                  <wpg:wgp>
                    <wpg:cNvGrpSpPr/>
                    <wpg:grpSpPr>
                      <a:xfrm>
                        <a:off x="0" y="0"/>
                        <a:ext cx="6438900" cy="6096"/>
                        <a:chOff x="0" y="0"/>
                        <a:chExt cx="6438900" cy="6096"/>
                      </a:xfrm>
                    </wpg:grpSpPr>
                    <wps:wsp>
                      <wps:cNvPr id="10377" name="Shape 10377"/>
                      <wps:cNvSpPr/>
                      <wps:spPr>
                        <a:xfrm>
                          <a:off x="0" y="0"/>
                          <a:ext cx="6438900" cy="9144"/>
                        </a:xfrm>
                        <a:custGeom>
                          <a:avLst/>
                          <a:gdLst/>
                          <a:ahLst/>
                          <a:cxnLst/>
                          <a:rect l="0" t="0" r="0" b="0"/>
                          <a:pathLst>
                            <a:path w="6438900" h="9144">
                              <a:moveTo>
                                <a:pt x="0" y="0"/>
                              </a:moveTo>
                              <a:lnTo>
                                <a:pt x="6438900" y="0"/>
                              </a:lnTo>
                              <a:lnTo>
                                <a:pt x="643890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9641" style="width:507pt;height:0.47998pt;position:absolute;mso-position-horizontal-relative:page;mso-position-horizontal:absolute;margin-left:52.56pt;mso-position-vertical-relative:page;margin-top:740.616pt;" coordsize="64389,60">
              <v:shape id="Shape 10378" style="position:absolute;width:64389;height:91;left:0;top:0;" coordsize="6438900,9144" path="m0,0l6438900,0l6438900,9144l0,9144l0,0">
                <v:stroke weight="0pt" endcap="flat" joinstyle="miter" miterlimit="10" on="false" color="#000000" opacity="0"/>
                <v:fill on="true" color="#000000"/>
              </v:shape>
              <w10:wrap type="square"/>
            </v:group>
          </w:pict>
        </mc:Fallback>
      </mc:AlternateContent>
    </w:r>
    <w:r w:rsidRPr="006B635F">
      <w:rPr>
        <w:rFonts w:ascii="Segoe UI Symbol" w:eastAsia="Segoe UI Symbol" w:hAnsi="Segoe UI Symbol" w:cs="Segoe UI Symbol"/>
        <w:sz w:val="16"/>
        <w:szCs w:val="16"/>
      </w:rPr>
      <w:t>©</w:t>
    </w:r>
    <w:r w:rsidRPr="006B635F">
      <w:rPr>
        <w:rFonts w:ascii="Arial" w:eastAsia="Arial" w:hAnsi="Arial" w:cs="Arial"/>
        <w:b/>
        <w:sz w:val="16"/>
        <w:szCs w:val="16"/>
      </w:rPr>
      <w:t xml:space="preserve"> 2019 Open Mobile Alliance. </w:t>
    </w:r>
  </w:p>
  <w:p w14:paraId="518C4C29" w14:textId="77777777" w:rsidR="004B5BA8" w:rsidRDefault="00222930">
    <w:pPr>
      <w:tabs>
        <w:tab w:val="right" w:pos="10110"/>
      </w:tabs>
      <w:spacing w:after="0" w:line="259" w:lineRule="auto"/>
      <w:ind w:left="0" w:firstLine="0"/>
    </w:pPr>
    <w:r w:rsidRPr="006B635F">
      <w:rPr>
        <w:rFonts w:ascii="Arial" w:eastAsia="Arial" w:hAnsi="Arial" w:cs="Arial"/>
        <w:b/>
        <w:sz w:val="16"/>
        <w:szCs w:val="16"/>
      </w:rPr>
      <w:t>Used with the permission of the Open Mobile Alliance under the terms as stated in this document.</w:t>
    </w:r>
    <w:r w:rsidRPr="006B635F">
      <w:rPr>
        <w:rFonts w:ascii="Arial" w:eastAsia="Arial" w:hAnsi="Arial" w:cs="Arial"/>
        <w:b/>
        <w:color w:val="999999"/>
        <w:sz w:val="16"/>
        <w:szCs w:val="16"/>
      </w:rPr>
      <w:t xml:space="preserve"> </w:t>
    </w:r>
    <w:r>
      <w:rPr>
        <w:rFonts w:ascii="Arial" w:eastAsia="Arial" w:hAnsi="Arial" w:cs="Arial"/>
        <w:b/>
        <w:color w:val="999999"/>
        <w:sz w:val="10"/>
      </w:rPr>
      <w:tab/>
    </w:r>
    <w:r>
      <w:rPr>
        <w:rFonts w:ascii="Arial" w:eastAsia="Arial" w:hAnsi="Arial" w:cs="Arial"/>
        <w:b/>
        <w:color w:val="969696"/>
        <w:sz w:val="10"/>
      </w:rPr>
      <w:t>[OMA-Template-WhitePaper-20191012-I]</w:t>
    </w:r>
    <w:r>
      <w:rPr>
        <w:rFonts w:ascii="Arial" w:eastAsia="Arial" w:hAnsi="Arial" w:cs="Arial"/>
        <w:b/>
        <w:sz w:val="10"/>
        <w:vertAlign w:val="subscript"/>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CEB07" w14:textId="77777777" w:rsidR="004B5BA8" w:rsidRPr="006B635F" w:rsidRDefault="00222930">
    <w:pPr>
      <w:spacing w:after="0" w:line="259" w:lineRule="auto"/>
      <w:ind w:left="0" w:firstLine="0"/>
      <w:rPr>
        <w:sz w:val="16"/>
        <w:szCs w:val="16"/>
      </w:rPr>
    </w:pPr>
    <w:r w:rsidRPr="006B635F">
      <w:rPr>
        <w:rFonts w:ascii="Calibri" w:eastAsia="Calibri" w:hAnsi="Calibri" w:cs="Calibri"/>
        <w:noProof/>
        <w:sz w:val="16"/>
        <w:szCs w:val="16"/>
      </w:rPr>
      <mc:AlternateContent>
        <mc:Choice Requires="wpg">
          <w:drawing>
            <wp:anchor distT="0" distB="0" distL="114300" distR="114300" simplePos="0" relativeHeight="251660288" behindDoc="0" locked="0" layoutInCell="1" allowOverlap="1" wp14:anchorId="1D2ACC05" wp14:editId="0DE1AA92">
              <wp:simplePos x="0" y="0"/>
              <wp:positionH relativeFrom="page">
                <wp:posOffset>667512</wp:posOffset>
              </wp:positionH>
              <wp:positionV relativeFrom="page">
                <wp:posOffset>9405824</wp:posOffset>
              </wp:positionV>
              <wp:extent cx="6438900" cy="6096"/>
              <wp:effectExtent l="0" t="0" r="0" b="0"/>
              <wp:wrapSquare wrapText="bothSides"/>
              <wp:docPr id="9582" name="Group 9582"/>
              <wp:cNvGraphicFramePr/>
              <a:graphic xmlns:a="http://schemas.openxmlformats.org/drawingml/2006/main">
                <a:graphicData uri="http://schemas.microsoft.com/office/word/2010/wordprocessingGroup">
                  <wpg:wgp>
                    <wpg:cNvGrpSpPr/>
                    <wpg:grpSpPr>
                      <a:xfrm>
                        <a:off x="0" y="0"/>
                        <a:ext cx="6438900" cy="6096"/>
                        <a:chOff x="0" y="0"/>
                        <a:chExt cx="6438900" cy="6096"/>
                      </a:xfrm>
                    </wpg:grpSpPr>
                    <wps:wsp>
                      <wps:cNvPr id="10375" name="Shape 10375"/>
                      <wps:cNvSpPr/>
                      <wps:spPr>
                        <a:xfrm>
                          <a:off x="0" y="0"/>
                          <a:ext cx="6438900" cy="9144"/>
                        </a:xfrm>
                        <a:custGeom>
                          <a:avLst/>
                          <a:gdLst/>
                          <a:ahLst/>
                          <a:cxnLst/>
                          <a:rect l="0" t="0" r="0" b="0"/>
                          <a:pathLst>
                            <a:path w="6438900" h="9144">
                              <a:moveTo>
                                <a:pt x="0" y="0"/>
                              </a:moveTo>
                              <a:lnTo>
                                <a:pt x="6438900" y="0"/>
                              </a:lnTo>
                              <a:lnTo>
                                <a:pt x="643890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9582" style="width:507pt;height:0.47998pt;position:absolute;mso-position-horizontal-relative:page;mso-position-horizontal:absolute;margin-left:52.56pt;mso-position-vertical-relative:page;margin-top:740.616pt;" coordsize="64389,60">
              <v:shape id="Shape 10376" style="position:absolute;width:64389;height:91;left:0;top:0;" coordsize="6438900,9144" path="m0,0l6438900,0l6438900,9144l0,9144l0,0">
                <v:stroke weight="0pt" endcap="flat" joinstyle="miter" miterlimit="10" on="false" color="#000000" opacity="0"/>
                <v:fill on="true" color="#000000"/>
              </v:shape>
              <w10:wrap type="square"/>
            </v:group>
          </w:pict>
        </mc:Fallback>
      </mc:AlternateContent>
    </w:r>
    <w:r w:rsidRPr="006B635F">
      <w:rPr>
        <w:rFonts w:ascii="Segoe UI Symbol" w:eastAsia="Segoe UI Symbol" w:hAnsi="Segoe UI Symbol" w:cs="Segoe UI Symbol"/>
        <w:sz w:val="16"/>
        <w:szCs w:val="16"/>
      </w:rPr>
      <w:t>©</w:t>
    </w:r>
    <w:r w:rsidRPr="006B635F">
      <w:rPr>
        <w:rFonts w:ascii="Arial" w:eastAsia="Arial" w:hAnsi="Arial" w:cs="Arial"/>
        <w:b/>
        <w:sz w:val="16"/>
        <w:szCs w:val="16"/>
      </w:rPr>
      <w:t xml:space="preserve"> 2019 Open Mobile Alliance. </w:t>
    </w:r>
  </w:p>
  <w:p w14:paraId="2D511E0C" w14:textId="77777777" w:rsidR="004B5BA8" w:rsidRDefault="00222930">
    <w:pPr>
      <w:tabs>
        <w:tab w:val="right" w:pos="10110"/>
      </w:tabs>
      <w:spacing w:after="0" w:line="259" w:lineRule="auto"/>
      <w:ind w:left="0" w:firstLine="0"/>
    </w:pPr>
    <w:r w:rsidRPr="006B635F">
      <w:rPr>
        <w:rFonts w:ascii="Arial" w:eastAsia="Arial" w:hAnsi="Arial" w:cs="Arial"/>
        <w:b/>
        <w:sz w:val="16"/>
        <w:szCs w:val="16"/>
      </w:rPr>
      <w:t>Used with the permission of the Open Mobile Alliance under the terms as stated in this document.</w:t>
    </w:r>
    <w:r>
      <w:rPr>
        <w:rFonts w:ascii="Arial" w:eastAsia="Arial" w:hAnsi="Arial" w:cs="Arial"/>
        <w:b/>
        <w:color w:val="999999"/>
        <w:sz w:val="10"/>
      </w:rPr>
      <w:t xml:space="preserve"> </w:t>
    </w:r>
    <w:r>
      <w:rPr>
        <w:rFonts w:ascii="Arial" w:eastAsia="Arial" w:hAnsi="Arial" w:cs="Arial"/>
        <w:b/>
        <w:color w:val="999999"/>
        <w:sz w:val="10"/>
      </w:rPr>
      <w:tab/>
    </w:r>
    <w:r>
      <w:rPr>
        <w:rFonts w:ascii="Arial" w:eastAsia="Arial" w:hAnsi="Arial" w:cs="Arial"/>
        <w:b/>
        <w:color w:val="969696"/>
        <w:sz w:val="10"/>
      </w:rPr>
      <w:t>[OMA-Template-WhitePaper-20191012-I]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ABB578" w14:textId="77777777" w:rsidR="000D7EB2" w:rsidRDefault="000D7EB2">
      <w:pPr>
        <w:spacing w:after="0" w:line="240" w:lineRule="auto"/>
      </w:pPr>
      <w:r>
        <w:separator/>
      </w:r>
    </w:p>
  </w:footnote>
  <w:footnote w:type="continuationSeparator" w:id="0">
    <w:p w14:paraId="6B385CC9" w14:textId="77777777" w:rsidR="000D7EB2" w:rsidRDefault="000D7E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78F48D" w14:textId="77777777" w:rsidR="004B5BA8" w:rsidRDefault="00222930">
    <w:pPr>
      <w:tabs>
        <w:tab w:val="right" w:pos="10110"/>
      </w:tabs>
      <w:spacing w:after="0" w:line="259" w:lineRule="auto"/>
      <w:ind w:left="0" w:firstLine="0"/>
    </w:pPr>
    <w:r>
      <w:rPr>
        <w:rFonts w:ascii="Arial" w:eastAsia="Arial" w:hAnsi="Arial" w:cs="Arial"/>
        <w:sz w:val="18"/>
        <w:u w:val="single" w:color="000000"/>
      </w:rPr>
      <w:t>OMA-WP-State-of-the-LwM2M-Standard-20191112-D</w:t>
    </w:r>
    <w:r>
      <w:rPr>
        <w:rFonts w:ascii="Arial" w:eastAsia="Arial" w:hAnsi="Arial" w:cs="Arial"/>
        <w:b/>
        <w:sz w:val="18"/>
        <w:u w:val="single" w:color="000000"/>
      </w:rPr>
      <w:t xml:space="preserve"> </w:t>
    </w:r>
    <w:r>
      <w:rPr>
        <w:rFonts w:ascii="Arial" w:eastAsia="Arial" w:hAnsi="Arial" w:cs="Arial"/>
        <w:b/>
        <w:sz w:val="18"/>
        <w:u w:val="single" w:color="000000"/>
      </w:rPr>
      <w:tab/>
      <w:t xml:space="preserve">Page </w:t>
    </w:r>
    <w:r>
      <w:fldChar w:fldCharType="begin"/>
    </w:r>
    <w:r>
      <w:instrText xml:space="preserve"> PAGE   \* MERGEFORMAT </w:instrText>
    </w:r>
    <w:r>
      <w:fldChar w:fldCharType="separate"/>
    </w:r>
    <w:r>
      <w:rPr>
        <w:rFonts w:ascii="Arial" w:eastAsia="Arial" w:hAnsi="Arial" w:cs="Arial"/>
        <w:b/>
        <w:sz w:val="18"/>
        <w:u w:val="single" w:color="000000"/>
      </w:rPr>
      <w:t>2</w:t>
    </w:r>
    <w:r>
      <w:rPr>
        <w:rFonts w:ascii="Arial" w:eastAsia="Arial" w:hAnsi="Arial" w:cs="Arial"/>
        <w:b/>
        <w:sz w:val="18"/>
        <w:u w:val="single" w:color="000000"/>
      </w:rPr>
      <w:fldChar w:fldCharType="end"/>
    </w:r>
    <w:r>
      <w:rPr>
        <w:rFonts w:ascii="Arial" w:eastAsia="Arial" w:hAnsi="Arial" w:cs="Arial"/>
        <w:b/>
        <w:sz w:val="18"/>
        <w:u w:val="single" w:color="000000"/>
      </w:rPr>
      <w:t xml:space="preserve"> (</w:t>
    </w:r>
    <w:r w:rsidR="000D7EB2">
      <w:fldChar w:fldCharType="begin"/>
    </w:r>
    <w:r w:rsidR="000D7EB2">
      <w:instrText xml:space="preserve"> NUMPAGES   \* MERGEFORMAT </w:instrText>
    </w:r>
    <w:r w:rsidR="000D7EB2">
      <w:fldChar w:fldCharType="separate"/>
    </w:r>
    <w:r>
      <w:rPr>
        <w:rFonts w:ascii="Arial" w:eastAsia="Arial" w:hAnsi="Arial" w:cs="Arial"/>
        <w:b/>
        <w:sz w:val="18"/>
        <w:u w:val="single" w:color="000000"/>
      </w:rPr>
      <w:t>7</w:t>
    </w:r>
    <w:r w:rsidR="000D7EB2">
      <w:rPr>
        <w:rFonts w:ascii="Arial" w:eastAsia="Arial" w:hAnsi="Arial" w:cs="Arial"/>
        <w:b/>
        <w:sz w:val="18"/>
        <w:u w:val="single" w:color="000000"/>
      </w:rPr>
      <w:fldChar w:fldCharType="end"/>
    </w:r>
    <w:r>
      <w:rPr>
        <w:rFonts w:ascii="Arial" w:eastAsia="Arial" w:hAnsi="Arial" w:cs="Arial"/>
        <w:b/>
        <w:sz w:val="18"/>
        <w:u w:val="single" w:color="000000"/>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71C9BE" w14:textId="77777777" w:rsidR="004B5BA8" w:rsidRDefault="00222930">
    <w:pPr>
      <w:tabs>
        <w:tab w:val="right" w:pos="10110"/>
      </w:tabs>
      <w:spacing w:after="0" w:line="259" w:lineRule="auto"/>
      <w:ind w:left="0" w:firstLine="0"/>
    </w:pPr>
    <w:r>
      <w:rPr>
        <w:rFonts w:ascii="Arial" w:eastAsia="Arial" w:hAnsi="Arial" w:cs="Arial"/>
        <w:sz w:val="18"/>
        <w:u w:val="single" w:color="000000"/>
      </w:rPr>
      <w:t>OMA-WP-State-of-the-LwM2M-Standard-20191112-D</w:t>
    </w:r>
    <w:r>
      <w:rPr>
        <w:rFonts w:ascii="Arial" w:eastAsia="Arial" w:hAnsi="Arial" w:cs="Arial"/>
        <w:b/>
        <w:sz w:val="18"/>
        <w:u w:val="single" w:color="000000"/>
      </w:rPr>
      <w:t xml:space="preserve"> </w:t>
    </w:r>
    <w:r>
      <w:rPr>
        <w:rFonts w:ascii="Arial" w:eastAsia="Arial" w:hAnsi="Arial" w:cs="Arial"/>
        <w:b/>
        <w:sz w:val="18"/>
        <w:u w:val="single" w:color="000000"/>
      </w:rPr>
      <w:tab/>
      <w:t xml:space="preserve">Page </w:t>
    </w:r>
    <w:r>
      <w:fldChar w:fldCharType="begin"/>
    </w:r>
    <w:r>
      <w:instrText xml:space="preserve"> PAGE   \* MERGEFORMAT </w:instrText>
    </w:r>
    <w:r>
      <w:fldChar w:fldCharType="separate"/>
    </w:r>
    <w:r>
      <w:rPr>
        <w:rFonts w:ascii="Arial" w:eastAsia="Arial" w:hAnsi="Arial" w:cs="Arial"/>
        <w:b/>
        <w:sz w:val="18"/>
        <w:u w:val="single" w:color="000000"/>
      </w:rPr>
      <w:t>2</w:t>
    </w:r>
    <w:r>
      <w:rPr>
        <w:rFonts w:ascii="Arial" w:eastAsia="Arial" w:hAnsi="Arial" w:cs="Arial"/>
        <w:b/>
        <w:sz w:val="18"/>
        <w:u w:val="single" w:color="000000"/>
      </w:rPr>
      <w:fldChar w:fldCharType="end"/>
    </w:r>
    <w:r>
      <w:rPr>
        <w:rFonts w:ascii="Arial" w:eastAsia="Arial" w:hAnsi="Arial" w:cs="Arial"/>
        <w:b/>
        <w:sz w:val="18"/>
        <w:u w:val="single" w:color="000000"/>
      </w:rPr>
      <w:t xml:space="preserve"> (</w:t>
    </w:r>
    <w:r w:rsidR="000D7EB2">
      <w:fldChar w:fldCharType="begin"/>
    </w:r>
    <w:r w:rsidR="000D7EB2">
      <w:instrText xml:space="preserve"> NUMPAGES   \* MERGEFORMAT </w:instrText>
    </w:r>
    <w:r w:rsidR="000D7EB2">
      <w:fldChar w:fldCharType="separate"/>
    </w:r>
    <w:r>
      <w:rPr>
        <w:rFonts w:ascii="Arial" w:eastAsia="Arial" w:hAnsi="Arial" w:cs="Arial"/>
        <w:b/>
        <w:sz w:val="18"/>
        <w:u w:val="single" w:color="000000"/>
      </w:rPr>
      <w:t>7</w:t>
    </w:r>
    <w:r w:rsidR="000D7EB2">
      <w:rPr>
        <w:rFonts w:ascii="Arial" w:eastAsia="Arial" w:hAnsi="Arial" w:cs="Arial"/>
        <w:b/>
        <w:sz w:val="18"/>
        <w:u w:val="single" w:color="000000"/>
      </w:rPr>
      <w:fldChar w:fldCharType="end"/>
    </w:r>
    <w:r>
      <w:rPr>
        <w:rFonts w:ascii="Arial" w:eastAsia="Arial" w:hAnsi="Arial" w:cs="Arial"/>
        <w:b/>
        <w:sz w:val="18"/>
        <w:u w:val="single" w:color="000000"/>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73FF8C" w14:textId="77777777" w:rsidR="004B5BA8" w:rsidRDefault="004B5BA8">
    <w:pPr>
      <w:spacing w:after="160" w:line="259" w:lineRule="auto"/>
      <w:ind w:left="0"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748C6"/>
    <w:multiLevelType w:val="multilevel"/>
    <w:tmpl w:val="26ACD7F8"/>
    <w:lvl w:ilvl="0">
      <w:start w:val="1"/>
      <w:numFmt w:val="decimal"/>
      <w:pStyle w:val="Heading1"/>
      <w:lvlText w:val="%1."/>
      <w:lvlJc w:val="left"/>
      <w:pPr>
        <w:ind w:left="0"/>
      </w:pPr>
      <w:rPr>
        <w:rFonts w:ascii="Arial" w:eastAsia="Arial" w:hAnsi="Arial" w:cs="Arial"/>
        <w:b/>
        <w:bCs/>
        <w:i w:val="0"/>
        <w:strike w:val="0"/>
        <w:dstrike w:val="0"/>
        <w:color w:val="000000"/>
        <w:sz w:val="36"/>
        <w:szCs w:val="36"/>
        <w:u w:val="none" w:color="000000"/>
        <w:bdr w:val="none" w:sz="0" w:space="0" w:color="auto"/>
        <w:shd w:val="clear" w:color="auto" w:fill="auto"/>
        <w:vertAlign w:val="baseline"/>
      </w:rPr>
    </w:lvl>
    <w:lvl w:ilvl="1">
      <w:start w:val="1"/>
      <w:numFmt w:val="decimal"/>
      <w:pStyle w:val="Heading2"/>
      <w:lvlText w:val="%1.%2"/>
      <w:lvlJc w:val="left"/>
      <w:pPr>
        <w:ind w:left="0"/>
      </w:pPr>
      <w:rPr>
        <w:rFonts w:ascii="Arial" w:eastAsia="Arial" w:hAnsi="Arial" w:cs="Arial"/>
        <w:b/>
        <w:bCs/>
        <w:i w:val="0"/>
        <w:strike w:val="0"/>
        <w:dstrike w:val="0"/>
        <w:color w:val="000000"/>
        <w:sz w:val="32"/>
        <w:szCs w:val="32"/>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bCs/>
        <w:i w:val="0"/>
        <w:strike w:val="0"/>
        <w:dstrike w:val="0"/>
        <w:color w:val="000000"/>
        <w:sz w:val="32"/>
        <w:szCs w:val="32"/>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bCs/>
        <w:i w:val="0"/>
        <w:strike w:val="0"/>
        <w:dstrike w:val="0"/>
        <w:color w:val="000000"/>
        <w:sz w:val="32"/>
        <w:szCs w:val="32"/>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bCs/>
        <w:i w:val="0"/>
        <w:strike w:val="0"/>
        <w:dstrike w:val="0"/>
        <w:color w:val="000000"/>
        <w:sz w:val="32"/>
        <w:szCs w:val="32"/>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bCs/>
        <w:i w:val="0"/>
        <w:strike w:val="0"/>
        <w:dstrike w:val="0"/>
        <w:color w:val="000000"/>
        <w:sz w:val="32"/>
        <w:szCs w:val="32"/>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bCs/>
        <w:i w:val="0"/>
        <w:strike w:val="0"/>
        <w:dstrike w:val="0"/>
        <w:color w:val="000000"/>
        <w:sz w:val="32"/>
        <w:szCs w:val="32"/>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bCs/>
        <w:i w:val="0"/>
        <w:strike w:val="0"/>
        <w:dstrike w:val="0"/>
        <w:color w:val="000000"/>
        <w:sz w:val="32"/>
        <w:szCs w:val="32"/>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bCs/>
        <w:i w:val="0"/>
        <w:strike w:val="0"/>
        <w:dstrike w:val="0"/>
        <w:color w:val="000000"/>
        <w:sz w:val="32"/>
        <w:szCs w:val="32"/>
        <w:u w:val="none" w:color="000000"/>
        <w:bdr w:val="none" w:sz="0" w:space="0" w:color="auto"/>
        <w:shd w:val="clear" w:color="auto" w:fill="auto"/>
        <w:vertAlign w:val="baseline"/>
      </w:rPr>
    </w:lvl>
  </w:abstractNum>
  <w:abstractNum w:abstractNumId="1" w15:restartNumberingAfterBreak="0">
    <w:nsid w:val="67BF6292"/>
    <w:multiLevelType w:val="hybridMultilevel"/>
    <w:tmpl w:val="95DC9E54"/>
    <w:lvl w:ilvl="0" w:tplc="826A81BC">
      <w:start w:val="1"/>
      <w:numFmt w:val="bullet"/>
      <w:lvlText w:val="•"/>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77E6498C">
      <w:start w:val="1"/>
      <w:numFmt w:val="bullet"/>
      <w:lvlText w:val="o"/>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188C0D7E">
      <w:start w:val="1"/>
      <w:numFmt w:val="bullet"/>
      <w:lvlText w:val="▪"/>
      <w:lvlJc w:val="left"/>
      <w:pPr>
        <w:ind w:left="25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F3DCF72E">
      <w:start w:val="1"/>
      <w:numFmt w:val="bullet"/>
      <w:lvlText w:val="•"/>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35A2BAE">
      <w:start w:val="1"/>
      <w:numFmt w:val="bullet"/>
      <w:lvlText w:val="o"/>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421CAB3C">
      <w:start w:val="1"/>
      <w:numFmt w:val="bullet"/>
      <w:lvlText w:val="▪"/>
      <w:lvlJc w:val="left"/>
      <w:pPr>
        <w:ind w:left="46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A0186630">
      <w:start w:val="1"/>
      <w:numFmt w:val="bullet"/>
      <w:lvlText w:val="•"/>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AE86E83A">
      <w:start w:val="1"/>
      <w:numFmt w:val="bullet"/>
      <w:lvlText w:val="o"/>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7BF4D438">
      <w:start w:val="1"/>
      <w:numFmt w:val="bullet"/>
      <w:lvlText w:val="▪"/>
      <w:lvlJc w:val="left"/>
      <w:pPr>
        <w:ind w:left="68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7B013168"/>
    <w:multiLevelType w:val="hybridMultilevel"/>
    <w:tmpl w:val="5DF4D61A"/>
    <w:lvl w:ilvl="0" w:tplc="6252813E">
      <w:start w:val="1"/>
      <w:numFmt w:val="bullet"/>
      <w:lvlText w:val="•"/>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6E807AC">
      <w:start w:val="1"/>
      <w:numFmt w:val="bullet"/>
      <w:lvlText w:val="o"/>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BC22E48C">
      <w:start w:val="1"/>
      <w:numFmt w:val="bullet"/>
      <w:lvlText w:val="▪"/>
      <w:lvlJc w:val="left"/>
      <w:pPr>
        <w:ind w:left="25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53B6DCE2">
      <w:start w:val="1"/>
      <w:numFmt w:val="bullet"/>
      <w:lvlText w:val="•"/>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906C150">
      <w:start w:val="1"/>
      <w:numFmt w:val="bullet"/>
      <w:lvlText w:val="o"/>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CAB2A574">
      <w:start w:val="1"/>
      <w:numFmt w:val="bullet"/>
      <w:lvlText w:val="▪"/>
      <w:lvlJc w:val="left"/>
      <w:pPr>
        <w:ind w:left="46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D9F63F14">
      <w:start w:val="1"/>
      <w:numFmt w:val="bullet"/>
      <w:lvlText w:val="•"/>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3043B3E">
      <w:start w:val="1"/>
      <w:numFmt w:val="bullet"/>
      <w:lvlText w:val="o"/>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114E3D36">
      <w:start w:val="1"/>
      <w:numFmt w:val="bullet"/>
      <w:lvlText w:val="▪"/>
      <w:lvlJc w:val="left"/>
      <w:pPr>
        <w:ind w:left="68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YxNzU1NTIwNrcwMjFT0lEKTi0uzszPAykwrgUAJvNZoywAAAA="/>
  </w:docVars>
  <w:rsids>
    <w:rsidRoot w:val="004B5BA8"/>
    <w:rsid w:val="000D7EB2"/>
    <w:rsid w:val="00222930"/>
    <w:rsid w:val="00252AA8"/>
    <w:rsid w:val="004B5BA8"/>
    <w:rsid w:val="006B635F"/>
    <w:rsid w:val="00927524"/>
    <w:rsid w:val="00ED25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CBFDF6"/>
  <w15:docId w15:val="{15EBC25F-3823-4446-9D3E-180AA0DAC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09" w:line="249" w:lineRule="auto"/>
      <w:ind w:left="10" w:hanging="10"/>
    </w:pPr>
    <w:rPr>
      <w:rFonts w:ascii="Times New Roman" w:eastAsia="Times New Roman" w:hAnsi="Times New Roman" w:cs="Times New Roman"/>
      <w:color w:val="000000"/>
      <w:sz w:val="20"/>
    </w:rPr>
  </w:style>
  <w:style w:type="paragraph" w:styleId="Heading1">
    <w:name w:val="heading 1"/>
    <w:next w:val="Normal"/>
    <w:link w:val="Heading1Char"/>
    <w:uiPriority w:val="9"/>
    <w:qFormat/>
    <w:pPr>
      <w:keepNext/>
      <w:keepLines/>
      <w:numPr>
        <w:numId w:val="3"/>
      </w:numPr>
      <w:spacing w:after="0"/>
      <w:ind w:left="10" w:hanging="10"/>
      <w:outlineLvl w:val="0"/>
    </w:pPr>
    <w:rPr>
      <w:rFonts w:ascii="Arial" w:eastAsia="Arial" w:hAnsi="Arial" w:cs="Arial"/>
      <w:b/>
      <w:color w:val="000000"/>
      <w:sz w:val="36"/>
    </w:rPr>
  </w:style>
  <w:style w:type="paragraph" w:styleId="Heading2">
    <w:name w:val="heading 2"/>
    <w:next w:val="Normal"/>
    <w:link w:val="Heading2Char"/>
    <w:uiPriority w:val="9"/>
    <w:unhideWhenUsed/>
    <w:qFormat/>
    <w:pPr>
      <w:keepNext/>
      <w:keepLines/>
      <w:numPr>
        <w:ilvl w:val="1"/>
        <w:numId w:val="3"/>
      </w:numPr>
      <w:spacing w:after="0"/>
      <w:ind w:left="10" w:right="131" w:hanging="10"/>
      <w:outlineLvl w:val="1"/>
    </w:pPr>
    <w:rPr>
      <w:rFonts w:ascii="Arial" w:eastAsia="Arial" w:hAnsi="Arial" w:cs="Arial"/>
      <w:b/>
      <w:color w:val="000000"/>
      <w:sz w:val="32"/>
    </w:rPr>
  </w:style>
  <w:style w:type="paragraph" w:styleId="Heading3">
    <w:name w:val="heading 3"/>
    <w:next w:val="Normal"/>
    <w:link w:val="Heading3Char"/>
    <w:uiPriority w:val="9"/>
    <w:semiHidden/>
    <w:unhideWhenUsed/>
    <w:qFormat/>
    <w:pPr>
      <w:keepNext/>
      <w:keepLines/>
      <w:spacing w:after="0"/>
      <w:ind w:left="10" w:right="131" w:hanging="10"/>
      <w:outlineLvl w:val="2"/>
    </w:pPr>
    <w:rPr>
      <w:rFonts w:ascii="Arial" w:eastAsia="Arial" w:hAnsi="Arial" w:cs="Arial"/>
      <w:b/>
      <w:color w:val="000000"/>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Pr>
      <w:rFonts w:ascii="Arial" w:eastAsia="Arial" w:hAnsi="Arial" w:cs="Arial"/>
      <w:b/>
      <w:color w:val="000000"/>
      <w:sz w:val="32"/>
    </w:rPr>
  </w:style>
  <w:style w:type="character" w:customStyle="1" w:styleId="Heading1Char">
    <w:name w:val="Heading 1 Char"/>
    <w:link w:val="Heading1"/>
    <w:rPr>
      <w:rFonts w:ascii="Arial" w:eastAsia="Arial" w:hAnsi="Arial" w:cs="Arial"/>
      <w:b/>
      <w:color w:val="000000"/>
      <w:sz w:val="36"/>
    </w:rPr>
  </w:style>
  <w:style w:type="character" w:customStyle="1" w:styleId="Heading2Char">
    <w:name w:val="Heading 2 Char"/>
    <w:link w:val="Heading2"/>
    <w:rPr>
      <w:rFonts w:ascii="Arial" w:eastAsia="Arial" w:hAnsi="Arial" w:cs="Arial"/>
      <w:b/>
      <w:color w:val="000000"/>
      <w:sz w:val="32"/>
    </w:rPr>
  </w:style>
  <w:style w:type="paragraph" w:styleId="TOC1">
    <w:name w:val="toc 1"/>
    <w:hidden/>
    <w:uiPriority w:val="39"/>
    <w:pPr>
      <w:spacing w:after="4" w:line="267" w:lineRule="auto"/>
      <w:ind w:left="25" w:right="39" w:hanging="10"/>
    </w:pPr>
    <w:rPr>
      <w:rFonts w:ascii="Times New Roman" w:eastAsia="Times New Roman" w:hAnsi="Times New Roman" w:cs="Times New Roman"/>
      <w:b/>
      <w:color w:val="000000"/>
      <w:sz w:val="20"/>
    </w:rPr>
  </w:style>
  <w:style w:type="paragraph" w:styleId="TOC2">
    <w:name w:val="toc 2"/>
    <w:hidden/>
    <w:uiPriority w:val="39"/>
    <w:pPr>
      <w:spacing w:after="0"/>
      <w:ind w:left="25" w:right="39" w:hanging="10"/>
      <w:jc w:val="right"/>
    </w:pPr>
    <w:rPr>
      <w:rFonts w:ascii="Times New Roman" w:eastAsia="Times New Roman" w:hAnsi="Times New Roman" w:cs="Times New Roman"/>
      <w:b/>
      <w:color w:val="000000"/>
      <w:sz w:val="20"/>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yperlink">
    <w:name w:val="Hyperlink"/>
    <w:basedOn w:val="DefaultParagraphFont"/>
    <w:uiPriority w:val="99"/>
    <w:unhideWhenUsed/>
    <w:rsid w:val="006B635F"/>
    <w:rPr>
      <w:color w:val="0563C1" w:themeColor="hyperlink"/>
      <w:u w:val="single"/>
    </w:rPr>
  </w:style>
  <w:style w:type="paragraph" w:styleId="TOCHeading">
    <w:name w:val="TOC Heading"/>
    <w:basedOn w:val="Heading1"/>
    <w:next w:val="Normal"/>
    <w:uiPriority w:val="39"/>
    <w:unhideWhenUsed/>
    <w:qFormat/>
    <w:rsid w:val="006B635F"/>
    <w:pPr>
      <w:numPr>
        <w:numId w:val="0"/>
      </w:numPr>
      <w:spacing w:before="240"/>
      <w:outlineLvl w:val="9"/>
    </w:pPr>
    <w:rPr>
      <w:rFonts w:asciiTheme="majorHAnsi" w:eastAsiaTheme="majorEastAsia" w:hAnsiTheme="majorHAnsi" w:cstheme="majorBidi"/>
      <w:b w:val="0"/>
      <w:color w:val="2F5496" w:themeColor="accent1" w:themeShade="BF"/>
      <w:sz w:val="32"/>
      <w:szCs w:val="32"/>
    </w:rPr>
  </w:style>
  <w:style w:type="paragraph" w:styleId="TOC3">
    <w:name w:val="toc 3"/>
    <w:basedOn w:val="Normal"/>
    <w:next w:val="Normal"/>
    <w:autoRedefine/>
    <w:uiPriority w:val="39"/>
    <w:unhideWhenUsed/>
    <w:rsid w:val="006B635F"/>
    <w:pPr>
      <w:spacing w:after="100" w:line="259" w:lineRule="auto"/>
      <w:ind w:left="440" w:firstLine="0"/>
    </w:pPr>
    <w:rPr>
      <w:rFonts w:asciiTheme="minorHAnsi" w:eastAsiaTheme="minorEastAsia" w:hAnsiTheme="minorHAnsi"/>
      <w:color w:val="auto"/>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26" Type="http://schemas.openxmlformats.org/officeDocument/2006/relationships/hyperlink" Target="https://www.omaspecworks.org/building-the-foundation-for-the-internet-of-things-2/" TargetMode="External"/><Relationship Id="rId21" Type="http://schemas.openxmlformats.org/officeDocument/2006/relationships/hyperlink" Target="https://www.idc.com/getdoc.jsp?containerId=prUS45426819" TargetMode="External"/><Relationship Id="rId42" Type="http://schemas.openxmlformats.org/officeDocument/2006/relationships/hyperlink" Target="https://www.omaspecworks.org/building-the-foundation-for-the-internet-of-things-2/" TargetMode="External"/><Relationship Id="rId47" Type="http://schemas.openxmlformats.org/officeDocument/2006/relationships/hyperlink" Target="https://www.omaspecworks.org/lightweight-m2m-1-1-white-paper-ericsson-and-t-mobile/" TargetMode="External"/><Relationship Id="rId63" Type="http://schemas.openxmlformats.org/officeDocument/2006/relationships/hyperlink" Target="https://www.omaspecworks.org/lightweight-m2m-1-1-white-paper-ericsson-and-t-mobile/" TargetMode="External"/><Relationship Id="rId68" Type="http://schemas.openxmlformats.org/officeDocument/2006/relationships/hyperlink" Target="https://www.omaspecworks.org/comparing-iot-standards-what-services-do-they-provide-2/" TargetMode="External"/><Relationship Id="rId84" Type="http://schemas.openxmlformats.org/officeDocument/2006/relationships/footer" Target="footer1.xml"/><Relationship Id="rId89" Type="http://schemas.openxmlformats.org/officeDocument/2006/relationships/theme" Target="theme/theme1.xml"/><Relationship Id="rId16" Type="http://schemas.openxmlformats.org/officeDocument/2006/relationships/hyperlink" Target="https://www.idc.com/getdoc.jsp?containerId=prUS45426819" TargetMode="External"/><Relationship Id="rId11" Type="http://schemas.openxmlformats.org/officeDocument/2006/relationships/hyperlink" Target="https://www.gsma.com/iot/wp-content/uploads/2018/05/GSMA-5G-Mobile-IoT.pdf" TargetMode="External"/><Relationship Id="rId32" Type="http://schemas.openxmlformats.org/officeDocument/2006/relationships/hyperlink" Target="https://www.omaspecworks.org/building-the-foundation-for-the-internet-of-things-2/" TargetMode="External"/><Relationship Id="rId37" Type="http://schemas.openxmlformats.org/officeDocument/2006/relationships/hyperlink" Target="https://www.omaspecworks.org/building-the-foundation-for-the-internet-of-things-2/" TargetMode="External"/><Relationship Id="rId53" Type="http://schemas.openxmlformats.org/officeDocument/2006/relationships/hyperlink" Target="https://www.omaspecworks.org/lightweight-m2m-1-1-white-paper-ericsson-and-t-mobile/" TargetMode="External"/><Relationship Id="rId58" Type="http://schemas.openxmlformats.org/officeDocument/2006/relationships/hyperlink" Target="https://www.omaspecworks.org/lightweight-m2m-1-1-white-paper-ericsson-and-t-mobile/" TargetMode="External"/><Relationship Id="rId74" Type="http://schemas.openxmlformats.org/officeDocument/2006/relationships/hyperlink" Target="https://www.omaspecworks.org/comparing-iot-standards-what-services-do-they-provide-2/" TargetMode="External"/><Relationship Id="rId79" Type="http://schemas.openxmlformats.org/officeDocument/2006/relationships/hyperlink" Target="https://www.omaspecworks.org/comparing-iot-standards-what-services-do-they-provide-2/" TargetMode="External"/><Relationship Id="rId5" Type="http://schemas.openxmlformats.org/officeDocument/2006/relationships/footnotes" Target="footnotes.xml"/><Relationship Id="rId14" Type="http://schemas.openxmlformats.org/officeDocument/2006/relationships/hyperlink" Target="https://www.gsma.com/iot/wp-content/uploads/2018/05/GSMA-5G-Mobile-IoT.pdf" TargetMode="External"/><Relationship Id="rId22" Type="http://schemas.openxmlformats.org/officeDocument/2006/relationships/hyperlink" Target="https://www.idc.com/getdoc.jsp?containerId=prUS45426819" TargetMode="External"/><Relationship Id="rId27" Type="http://schemas.openxmlformats.org/officeDocument/2006/relationships/hyperlink" Target="https://www.omaspecworks.org/building-the-foundation-for-the-internet-of-things-2/" TargetMode="External"/><Relationship Id="rId30" Type="http://schemas.openxmlformats.org/officeDocument/2006/relationships/hyperlink" Target="https://www.omaspecworks.org/building-the-foundation-for-the-internet-of-things-2/" TargetMode="External"/><Relationship Id="rId35" Type="http://schemas.openxmlformats.org/officeDocument/2006/relationships/hyperlink" Target="https://www.omaspecworks.org/building-the-foundation-for-the-internet-of-things-2/" TargetMode="External"/><Relationship Id="rId43" Type="http://schemas.openxmlformats.org/officeDocument/2006/relationships/hyperlink" Target="https://www.omaspecworks.org/building-the-foundation-for-the-internet-of-things-2/" TargetMode="External"/><Relationship Id="rId48" Type="http://schemas.openxmlformats.org/officeDocument/2006/relationships/hyperlink" Target="https://www.omaspecworks.org/lightweight-m2m-1-1-white-paper-ericsson-and-t-mobile/" TargetMode="External"/><Relationship Id="rId56" Type="http://schemas.openxmlformats.org/officeDocument/2006/relationships/hyperlink" Target="https://www.omaspecworks.org/lightweight-m2m-1-1-white-paper-ericsson-and-t-mobile/" TargetMode="External"/><Relationship Id="rId64" Type="http://schemas.openxmlformats.org/officeDocument/2006/relationships/hyperlink" Target="https://www.omaspecworks.org/comparing-iot-standards-what-services-do-they-provide-2/" TargetMode="External"/><Relationship Id="rId69" Type="http://schemas.openxmlformats.org/officeDocument/2006/relationships/hyperlink" Target="https://www.omaspecworks.org/comparing-iot-standards-what-services-do-they-provide-2/" TargetMode="External"/><Relationship Id="rId77" Type="http://schemas.openxmlformats.org/officeDocument/2006/relationships/hyperlink" Target="https://www.omaspecworks.org/comparing-iot-standards-what-services-do-they-provide-2/" TargetMode="External"/><Relationship Id="rId8" Type="http://schemas.openxmlformats.org/officeDocument/2006/relationships/hyperlink" Target="https://cdn.ihs.com/www/pdf/IHS-Markit-IoT-platforms-market.pdf?utm_campaign=PC10725-1_JM_eT1_TMT_GLOBAL_TMT_IoT%20Ecosystem%20%C3%A2%C2%80%C2%93%20Platforms%20-%20Internal&amp;utm_medium=email&amp;utm_source=Eloqua" TargetMode="External"/><Relationship Id="rId51" Type="http://schemas.openxmlformats.org/officeDocument/2006/relationships/hyperlink" Target="https://www.omaspecworks.org/lightweight-m2m-1-1-white-paper-ericsson-and-t-mobile/" TargetMode="External"/><Relationship Id="rId72" Type="http://schemas.openxmlformats.org/officeDocument/2006/relationships/hyperlink" Target="https://www.omaspecworks.org/comparing-iot-standards-what-services-do-they-provide-2/" TargetMode="External"/><Relationship Id="rId80" Type="http://schemas.openxmlformats.org/officeDocument/2006/relationships/hyperlink" Target="https://www.omaspecworks.org/comparing-iot-standards-what-services-do-they-provide-2/" TargetMode="External"/><Relationship Id="rId85" Type="http://schemas.openxmlformats.org/officeDocument/2006/relationships/footer" Target="footer2.xml"/><Relationship Id="rId3" Type="http://schemas.openxmlformats.org/officeDocument/2006/relationships/settings" Target="settings.xml"/><Relationship Id="rId12" Type="http://schemas.openxmlformats.org/officeDocument/2006/relationships/hyperlink" Target="https://www.gsma.com/iot/wp-content/uploads/2018/05/GSMA-5G-Mobile-IoT.pdf" TargetMode="External"/><Relationship Id="rId17" Type="http://schemas.openxmlformats.org/officeDocument/2006/relationships/hyperlink" Target="https://portal.3gpp.org/desktopmodules/Specifications/SpecificationDetails.aspx?specificationId=849" TargetMode="External"/><Relationship Id="rId25" Type="http://schemas.openxmlformats.org/officeDocument/2006/relationships/hyperlink" Target="https://portal.3gpp.org/desktopmodules/Specifications/SpecificationDetails.aspx?specificationId=849" TargetMode="External"/><Relationship Id="rId33" Type="http://schemas.openxmlformats.org/officeDocument/2006/relationships/hyperlink" Target="https://www.omaspecworks.org/building-the-foundation-for-the-internet-of-things-2/" TargetMode="External"/><Relationship Id="rId38" Type="http://schemas.openxmlformats.org/officeDocument/2006/relationships/hyperlink" Target="https://www.omaspecworks.org/building-the-foundation-for-the-internet-of-things-2/" TargetMode="External"/><Relationship Id="rId46" Type="http://schemas.openxmlformats.org/officeDocument/2006/relationships/hyperlink" Target="https://www.omaspecworks.org/lightweight-m2m-1-1-white-paper-ericsson-and-t-mobile/" TargetMode="External"/><Relationship Id="rId59" Type="http://schemas.openxmlformats.org/officeDocument/2006/relationships/hyperlink" Target="https://www.omaspecworks.org/lightweight-m2m-1-1-white-paper-ericsson-and-t-mobile/" TargetMode="External"/><Relationship Id="rId67" Type="http://schemas.openxmlformats.org/officeDocument/2006/relationships/hyperlink" Target="https://www.omaspecworks.org/comparing-iot-standards-what-services-do-they-provide-2/" TargetMode="External"/><Relationship Id="rId20" Type="http://schemas.openxmlformats.org/officeDocument/2006/relationships/hyperlink" Target="https://www.omaspecworks.org/membership/how-to-join/" TargetMode="External"/><Relationship Id="rId41" Type="http://schemas.openxmlformats.org/officeDocument/2006/relationships/hyperlink" Target="https://www.omaspecworks.org/building-the-foundation-for-the-internet-of-things-2/" TargetMode="External"/><Relationship Id="rId54" Type="http://schemas.openxmlformats.org/officeDocument/2006/relationships/hyperlink" Target="https://www.omaspecworks.org/lightweight-m2m-1-1-white-paper-ericsson-and-t-mobile/" TargetMode="External"/><Relationship Id="rId62" Type="http://schemas.openxmlformats.org/officeDocument/2006/relationships/hyperlink" Target="https://www.omaspecworks.org/lightweight-m2m-1-1-white-paper-ericsson-and-t-mobile/" TargetMode="External"/><Relationship Id="rId70" Type="http://schemas.openxmlformats.org/officeDocument/2006/relationships/hyperlink" Target="https://www.omaspecworks.org/comparing-iot-standards-what-services-do-they-provide-2/" TargetMode="External"/><Relationship Id="rId75" Type="http://schemas.openxmlformats.org/officeDocument/2006/relationships/hyperlink" Target="https://www.omaspecworks.org/comparing-iot-standards-what-services-do-they-provide-2/" TargetMode="External"/><Relationship Id="rId83" Type="http://schemas.openxmlformats.org/officeDocument/2006/relationships/header" Target="header2.xml"/><Relationship Id="rId88"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idc.com/getdoc.jsp?containerId=prUS45426819" TargetMode="External"/><Relationship Id="rId23" Type="http://schemas.openxmlformats.org/officeDocument/2006/relationships/hyperlink" Target="https://www.idc.com/getdoc.jsp?containerId=prUS45426819" TargetMode="External"/><Relationship Id="rId28" Type="http://schemas.openxmlformats.org/officeDocument/2006/relationships/hyperlink" Target="https://www.omaspecworks.org/building-the-foundation-for-the-internet-of-things-2/" TargetMode="External"/><Relationship Id="rId36" Type="http://schemas.openxmlformats.org/officeDocument/2006/relationships/hyperlink" Target="https://www.omaspecworks.org/building-the-foundation-for-the-internet-of-things-2/" TargetMode="External"/><Relationship Id="rId49" Type="http://schemas.openxmlformats.org/officeDocument/2006/relationships/hyperlink" Target="https://www.omaspecworks.org/lightweight-m2m-1-1-white-paper-ericsson-and-t-mobile/" TargetMode="External"/><Relationship Id="rId57" Type="http://schemas.openxmlformats.org/officeDocument/2006/relationships/hyperlink" Target="https://www.omaspecworks.org/lightweight-m2m-1-1-white-paper-ericsson-and-t-mobile/" TargetMode="External"/><Relationship Id="rId10" Type="http://schemas.openxmlformats.org/officeDocument/2006/relationships/hyperlink" Target="https://www.gsma.com/iot/wp-content/uploads/2018/05/GSMA-5G-Mobile-IoT.pdf" TargetMode="External"/><Relationship Id="rId31" Type="http://schemas.openxmlformats.org/officeDocument/2006/relationships/hyperlink" Target="https://www.omaspecworks.org/building-the-foundation-for-the-internet-of-things-2/" TargetMode="External"/><Relationship Id="rId44" Type="http://schemas.openxmlformats.org/officeDocument/2006/relationships/hyperlink" Target="https://www.omaspecworks.org/lightweight-m2m-1-1-white-paper-ericsson-and-t-mobile/" TargetMode="External"/><Relationship Id="rId52" Type="http://schemas.openxmlformats.org/officeDocument/2006/relationships/hyperlink" Target="https://www.omaspecworks.org/lightweight-m2m-1-1-white-paper-ericsson-and-t-mobile/" TargetMode="External"/><Relationship Id="rId60" Type="http://schemas.openxmlformats.org/officeDocument/2006/relationships/hyperlink" Target="https://www.omaspecworks.org/lightweight-m2m-1-1-white-paper-ericsson-and-t-mobile/" TargetMode="External"/><Relationship Id="rId65" Type="http://schemas.openxmlformats.org/officeDocument/2006/relationships/hyperlink" Target="https://www.omaspecworks.org/comparing-iot-standards-what-services-do-they-provide-2/" TargetMode="External"/><Relationship Id="rId73" Type="http://schemas.openxmlformats.org/officeDocument/2006/relationships/hyperlink" Target="https://www.omaspecworks.org/comparing-iot-standards-what-services-do-they-provide-2/" TargetMode="External"/><Relationship Id="rId78" Type="http://schemas.openxmlformats.org/officeDocument/2006/relationships/hyperlink" Target="https://www.omaspecworks.org/comparing-iot-standards-what-services-do-they-provide-2/" TargetMode="External"/><Relationship Id="rId81" Type="http://schemas.openxmlformats.org/officeDocument/2006/relationships/hyperlink" Target="https://www.omaspecworks.org/comparing-iot-standards-what-services-do-they-provide-2/" TargetMode="External"/><Relationship Id="rId86"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https://cdn.ihs.com/www/pdf/IHS-Markit-IoT-platforms-market.pdf?utm_campaign=PC10725-1_JM_eT1_TMT_GLOBAL_TMT_IoT%20Ecosystem%20%C3%A2%C2%80%C2%93%20Platforms%20-%20Internal&amp;utm_medium=email&amp;utm_source=Eloqua" TargetMode="External"/><Relationship Id="rId13" Type="http://schemas.openxmlformats.org/officeDocument/2006/relationships/hyperlink" Target="https://www.gsma.com/iot/wp-content/uploads/2018/05/GSMA-5G-Mobile-IoT.pdf" TargetMode="External"/><Relationship Id="rId18" Type="http://schemas.openxmlformats.org/officeDocument/2006/relationships/hyperlink" Target="https://portal.3gpp.org/desktopmodules/Specifications/SpecificationDetails.aspx?specificationId=849" TargetMode="External"/><Relationship Id="rId39" Type="http://schemas.openxmlformats.org/officeDocument/2006/relationships/hyperlink" Target="https://www.omaspecworks.org/building-the-foundation-for-the-internet-of-things-2/" TargetMode="External"/><Relationship Id="rId34" Type="http://schemas.openxmlformats.org/officeDocument/2006/relationships/hyperlink" Target="https://www.omaspecworks.org/building-the-foundation-for-the-internet-of-things-2/" TargetMode="External"/><Relationship Id="rId50" Type="http://schemas.openxmlformats.org/officeDocument/2006/relationships/hyperlink" Target="https://www.omaspecworks.org/lightweight-m2m-1-1-white-paper-ericsson-and-t-mobile/" TargetMode="External"/><Relationship Id="rId55" Type="http://schemas.openxmlformats.org/officeDocument/2006/relationships/hyperlink" Target="https://www.omaspecworks.org/lightweight-m2m-1-1-white-paper-ericsson-and-t-mobile/" TargetMode="External"/><Relationship Id="rId76" Type="http://schemas.openxmlformats.org/officeDocument/2006/relationships/hyperlink" Target="https://www.omaspecworks.org/comparing-iot-standards-what-services-do-they-provide-2/" TargetMode="External"/><Relationship Id="rId7" Type="http://schemas.openxmlformats.org/officeDocument/2006/relationships/image" Target="media/image1.jpg"/><Relationship Id="rId71" Type="http://schemas.openxmlformats.org/officeDocument/2006/relationships/hyperlink" Target="https://www.omaspecworks.org/comparing-iot-standards-what-services-do-they-provide-2/" TargetMode="External"/><Relationship Id="rId2" Type="http://schemas.openxmlformats.org/officeDocument/2006/relationships/styles" Target="styles.xml"/><Relationship Id="rId29" Type="http://schemas.openxmlformats.org/officeDocument/2006/relationships/hyperlink" Target="https://www.omaspecworks.org/building-the-foundation-for-the-internet-of-things-2/" TargetMode="External"/><Relationship Id="rId24" Type="http://schemas.openxmlformats.org/officeDocument/2006/relationships/hyperlink" Target="https://portal.3gpp.org/desktopmodules/Specifications/SpecificationDetails.aspx?specificationId=849" TargetMode="External"/><Relationship Id="rId40" Type="http://schemas.openxmlformats.org/officeDocument/2006/relationships/hyperlink" Target="https://www.omaspecworks.org/building-the-foundation-for-the-internet-of-things-2/" TargetMode="External"/><Relationship Id="rId45" Type="http://schemas.openxmlformats.org/officeDocument/2006/relationships/hyperlink" Target="https://www.omaspecworks.org/lightweight-m2m-1-1-white-paper-ericsson-and-t-mobile/" TargetMode="External"/><Relationship Id="rId66" Type="http://schemas.openxmlformats.org/officeDocument/2006/relationships/hyperlink" Target="https://www.omaspecworks.org/comparing-iot-standards-what-services-do-they-provide-2/" TargetMode="External"/><Relationship Id="rId87" Type="http://schemas.openxmlformats.org/officeDocument/2006/relationships/footer" Target="footer3.xml"/><Relationship Id="rId61" Type="http://schemas.openxmlformats.org/officeDocument/2006/relationships/hyperlink" Target="https://www.omaspecworks.org/lightweight-m2m-1-1-white-paper-ericsson-and-t-mobile/" TargetMode="External"/><Relationship Id="rId82" Type="http://schemas.openxmlformats.org/officeDocument/2006/relationships/header" Target="header1.xml"/><Relationship Id="rId19" Type="http://schemas.openxmlformats.org/officeDocument/2006/relationships/hyperlink" Target="https://www.omaspecworks.org/membership/how-to-jo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3195</Words>
  <Characters>18216</Characters>
  <Application>Microsoft Office Word</Application>
  <DocSecurity>0</DocSecurity>
  <Lines>151</Lines>
  <Paragraphs>42</Paragraphs>
  <ScaleCrop>false</ScaleCrop>
  <Company/>
  <LinksUpToDate>false</LinksUpToDate>
  <CharactersWithSpaces>21369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White Paper</dc:subject>
  <dc:creator>OMA</dc:creator>
  <cp:keywords/>
  <cp:lastModifiedBy>Sean McIlroy</cp:lastModifiedBy>
  <cp:revision>2</cp:revision>
  <dcterms:created xsi:type="dcterms:W3CDTF">2020-01-15T08:21:00Z</dcterms:created>
  <dcterms:modified xsi:type="dcterms:W3CDTF">2020-01-15T08:21:00Z</dcterms:modified>
</cp:coreProperties>
</file>